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637E0B" w14:textId="77777777" w:rsidR="003A44C1" w:rsidRPr="00EE61B2" w:rsidRDefault="003A44C1" w:rsidP="00EE61B2">
      <w:pPr>
        <w:pStyle w:val="ac"/>
        <w:shd w:val="clear" w:color="auto" w:fill="FFFFFF"/>
        <w:spacing w:before="1200" w:beforeAutospacing="0" w:after="0" w:afterAutospacing="0"/>
        <w:jc w:val="center"/>
        <w:rPr>
          <w:rStyle w:val="a9"/>
          <w:color w:val="212529"/>
          <w:sz w:val="36"/>
          <w:szCs w:val="36"/>
          <w:lang w:val="en-US"/>
        </w:rPr>
      </w:pPr>
      <w:bookmarkStart w:id="0" w:name="_Hlk208328389"/>
      <w:bookmarkEnd w:id="0"/>
      <w:proofErr w:type="spellStart"/>
      <w:r w:rsidRPr="00EE61B2">
        <w:rPr>
          <w:rStyle w:val="a9"/>
          <w:color w:val="212529"/>
          <w:sz w:val="36"/>
          <w:szCs w:val="36"/>
          <w:lang w:val="en-US"/>
        </w:rPr>
        <w:t>Plastoelastic</w:t>
      </w:r>
      <w:proofErr w:type="spellEnd"/>
      <w:r w:rsidRPr="00EE61B2">
        <w:rPr>
          <w:rStyle w:val="a9"/>
          <w:color w:val="212529"/>
          <w:sz w:val="36"/>
          <w:szCs w:val="36"/>
          <w:lang w:val="en-US"/>
        </w:rPr>
        <w:t xml:space="preserve"> Properties of Elastomeric Compositions Containing Gas Pyrolysis Residue as a Plasticizer</w:t>
      </w:r>
    </w:p>
    <w:p w14:paraId="36E83294" w14:textId="246E448D" w:rsidR="00F37C82" w:rsidRPr="00EE61B2" w:rsidRDefault="00EE61B2" w:rsidP="00EE61B2">
      <w:pPr>
        <w:tabs>
          <w:tab w:val="left" w:pos="9498"/>
        </w:tabs>
        <w:spacing w:before="360" w:after="360"/>
        <w:jc w:val="center"/>
        <w:rPr>
          <w:sz w:val="28"/>
          <w:szCs w:val="28"/>
        </w:rPr>
      </w:pPr>
      <w:proofErr w:type="spellStart"/>
      <w:r w:rsidRPr="00EE61B2">
        <w:rPr>
          <w:sz w:val="28"/>
          <w:szCs w:val="28"/>
          <w:lang w:val="en-US"/>
        </w:rPr>
        <w:t>Murodjon</w:t>
      </w:r>
      <w:proofErr w:type="spellEnd"/>
      <w:r w:rsidRPr="00EE61B2">
        <w:rPr>
          <w:sz w:val="28"/>
          <w:szCs w:val="28"/>
          <w:lang w:val="en-US"/>
        </w:rPr>
        <w:t xml:space="preserve"> </w:t>
      </w:r>
      <w:proofErr w:type="spellStart"/>
      <w:r w:rsidR="001E1BCB" w:rsidRPr="00EE61B2">
        <w:rPr>
          <w:sz w:val="28"/>
          <w:szCs w:val="28"/>
          <w:lang w:val="en-US"/>
        </w:rPr>
        <w:t>Vapaev</w:t>
      </w:r>
      <w:proofErr w:type="spellEnd"/>
      <w:r w:rsidR="00F37C82" w:rsidRPr="00EE61B2">
        <w:rPr>
          <w:position w:val="10"/>
          <w:sz w:val="28"/>
          <w:szCs w:val="28"/>
          <w:vertAlign w:val="superscript"/>
        </w:rPr>
        <w:t>1,</w:t>
      </w:r>
      <w:r w:rsidR="00F37C82" w:rsidRPr="00EE61B2">
        <w:rPr>
          <w:spacing w:val="-2"/>
          <w:position w:val="10"/>
          <w:sz w:val="28"/>
          <w:szCs w:val="28"/>
          <w:vertAlign w:val="superscript"/>
        </w:rPr>
        <w:t xml:space="preserve"> </w:t>
      </w:r>
      <w:r w:rsidR="00F37C82" w:rsidRPr="00EE61B2">
        <w:rPr>
          <w:position w:val="10"/>
          <w:sz w:val="28"/>
          <w:szCs w:val="28"/>
          <w:vertAlign w:val="superscript"/>
        </w:rPr>
        <w:t>a)</w:t>
      </w:r>
      <w:r w:rsidR="00F37C82" w:rsidRPr="00EE61B2">
        <w:rPr>
          <w:sz w:val="28"/>
          <w:szCs w:val="28"/>
        </w:rPr>
        <w:t xml:space="preserve">, </w:t>
      </w:r>
      <w:r w:rsidRPr="00EE61B2">
        <w:rPr>
          <w:rStyle w:val="fontstyle01"/>
          <w:rFonts w:ascii="Times New Roman" w:hAnsi="Times New Roman"/>
          <w:sz w:val="28"/>
          <w:szCs w:val="28"/>
          <w:lang w:val="en-US"/>
        </w:rPr>
        <w:t>Elmira</w:t>
      </w:r>
      <w:r w:rsidRPr="00EE61B2">
        <w:rPr>
          <w:rStyle w:val="fontstyle01"/>
          <w:rFonts w:ascii="Times New Roman" w:hAnsi="Times New Roman"/>
          <w:sz w:val="28"/>
          <w:szCs w:val="28"/>
          <w:lang w:val="en-US"/>
        </w:rPr>
        <w:t xml:space="preserve"> </w:t>
      </w:r>
      <w:proofErr w:type="spellStart"/>
      <w:r w:rsidR="00F37C82" w:rsidRPr="00EE61B2">
        <w:rPr>
          <w:rStyle w:val="fontstyle01"/>
          <w:rFonts w:ascii="Times New Roman" w:hAnsi="Times New Roman"/>
          <w:sz w:val="28"/>
          <w:szCs w:val="28"/>
          <w:lang w:val="en-US"/>
        </w:rPr>
        <w:t>Teshabaeva</w:t>
      </w:r>
      <w:proofErr w:type="spellEnd"/>
      <w:r w:rsidR="001E1BCB" w:rsidRPr="00EE61B2">
        <w:rPr>
          <w:position w:val="10"/>
          <w:sz w:val="28"/>
          <w:szCs w:val="28"/>
          <w:vertAlign w:val="superscript"/>
        </w:rPr>
        <w:t>2</w:t>
      </w:r>
      <w:r w:rsidR="00F37C82" w:rsidRPr="00EE61B2">
        <w:rPr>
          <w:position w:val="10"/>
          <w:sz w:val="28"/>
          <w:szCs w:val="28"/>
          <w:vertAlign w:val="superscript"/>
        </w:rPr>
        <w:t>,</w:t>
      </w:r>
      <w:r w:rsidR="00F37C82" w:rsidRPr="00EE61B2">
        <w:rPr>
          <w:spacing w:val="-2"/>
          <w:position w:val="10"/>
          <w:sz w:val="28"/>
          <w:szCs w:val="28"/>
          <w:vertAlign w:val="superscript"/>
        </w:rPr>
        <w:t xml:space="preserve"> </w:t>
      </w:r>
      <w:r w:rsidR="00F37C82" w:rsidRPr="00EE61B2">
        <w:rPr>
          <w:position w:val="10"/>
          <w:sz w:val="28"/>
          <w:szCs w:val="28"/>
          <w:vertAlign w:val="superscript"/>
        </w:rPr>
        <w:t>b)</w:t>
      </w:r>
      <w:r w:rsidR="00F37C82" w:rsidRPr="00EE61B2">
        <w:rPr>
          <w:sz w:val="28"/>
          <w:szCs w:val="28"/>
        </w:rPr>
        <w:t xml:space="preserve">, </w:t>
      </w:r>
      <w:r>
        <w:rPr>
          <w:sz w:val="28"/>
          <w:szCs w:val="28"/>
        </w:rPr>
        <w:t>Kh</w:t>
      </w:r>
      <w:proofErr w:type="spellStart"/>
      <w:r w:rsidRPr="00EE61B2">
        <w:rPr>
          <w:sz w:val="28"/>
          <w:szCs w:val="28"/>
          <w:lang w:val="en-US"/>
        </w:rPr>
        <w:t>ushnudbek</w:t>
      </w:r>
      <w:proofErr w:type="spellEnd"/>
      <w:r w:rsidRPr="00EE61B2">
        <w:rPr>
          <w:sz w:val="28"/>
          <w:szCs w:val="28"/>
          <w:lang w:val="en-US"/>
        </w:rPr>
        <w:t xml:space="preserve"> </w:t>
      </w:r>
      <w:proofErr w:type="spellStart"/>
      <w:r w:rsidR="001E1BCB" w:rsidRPr="00EE61B2">
        <w:rPr>
          <w:sz w:val="28"/>
          <w:szCs w:val="28"/>
          <w:lang w:val="en-US"/>
        </w:rPr>
        <w:t>Samandarov</w:t>
      </w:r>
      <w:proofErr w:type="spellEnd"/>
      <w:r w:rsidR="001D7568" w:rsidRPr="00EE61B2">
        <w:rPr>
          <w:position w:val="10"/>
          <w:sz w:val="28"/>
          <w:szCs w:val="28"/>
          <w:vertAlign w:val="superscript"/>
        </w:rPr>
        <w:t>2</w:t>
      </w:r>
      <w:r w:rsidR="00F37C82" w:rsidRPr="00EE61B2">
        <w:rPr>
          <w:position w:val="10"/>
          <w:sz w:val="28"/>
          <w:szCs w:val="28"/>
          <w:vertAlign w:val="superscript"/>
        </w:rPr>
        <w:t>,</w:t>
      </w:r>
      <w:r w:rsidR="00F37C82" w:rsidRPr="00EE61B2">
        <w:rPr>
          <w:spacing w:val="-2"/>
          <w:position w:val="10"/>
          <w:sz w:val="28"/>
          <w:szCs w:val="28"/>
          <w:vertAlign w:val="superscript"/>
        </w:rPr>
        <w:t xml:space="preserve"> </w:t>
      </w:r>
      <w:r w:rsidR="00F37C82" w:rsidRPr="00EE61B2">
        <w:rPr>
          <w:position w:val="10"/>
          <w:sz w:val="28"/>
          <w:szCs w:val="28"/>
          <w:vertAlign w:val="superscript"/>
        </w:rPr>
        <w:t>c)</w:t>
      </w:r>
      <w:r w:rsidR="001D7568" w:rsidRPr="00EE61B2">
        <w:rPr>
          <w:sz w:val="28"/>
          <w:szCs w:val="28"/>
        </w:rPr>
        <w:t xml:space="preserve"> </w:t>
      </w:r>
      <w:r w:rsidR="00F37C82" w:rsidRPr="00EE61B2">
        <w:rPr>
          <w:sz w:val="28"/>
          <w:szCs w:val="28"/>
        </w:rPr>
        <w:t>and</w:t>
      </w:r>
      <w:r w:rsidR="001D7568" w:rsidRPr="00EE61B2">
        <w:rPr>
          <w:sz w:val="28"/>
          <w:szCs w:val="28"/>
        </w:rPr>
        <w:t xml:space="preserve"> </w:t>
      </w:r>
      <w:proofErr w:type="spellStart"/>
      <w:r w:rsidRPr="00EE61B2">
        <w:rPr>
          <w:sz w:val="28"/>
          <w:szCs w:val="28"/>
          <w:lang w:val="en-US"/>
        </w:rPr>
        <w:t>Jasurbek</w:t>
      </w:r>
      <w:proofErr w:type="spellEnd"/>
      <w:r w:rsidRPr="00EE61B2">
        <w:rPr>
          <w:sz w:val="28"/>
          <w:szCs w:val="28"/>
          <w:lang w:val="en-US"/>
        </w:rPr>
        <w:t xml:space="preserve"> </w:t>
      </w:r>
      <w:proofErr w:type="spellStart"/>
      <w:r w:rsidR="001E1BCB" w:rsidRPr="00EE61B2">
        <w:rPr>
          <w:sz w:val="28"/>
          <w:szCs w:val="28"/>
          <w:lang w:val="en-US"/>
        </w:rPr>
        <w:t>Sobirov</w:t>
      </w:r>
      <w:proofErr w:type="spellEnd"/>
      <w:r w:rsidR="001E1BCB" w:rsidRPr="00EE61B2">
        <w:rPr>
          <w:position w:val="10"/>
          <w:sz w:val="28"/>
          <w:szCs w:val="28"/>
          <w:vertAlign w:val="superscript"/>
        </w:rPr>
        <w:t>2</w:t>
      </w:r>
      <w:r w:rsidR="00F37C82" w:rsidRPr="00EE61B2">
        <w:rPr>
          <w:position w:val="10"/>
          <w:sz w:val="28"/>
          <w:szCs w:val="28"/>
          <w:vertAlign w:val="superscript"/>
        </w:rPr>
        <w:t xml:space="preserve">, </w:t>
      </w:r>
      <w:r w:rsidR="001D7568" w:rsidRPr="00EE61B2">
        <w:rPr>
          <w:position w:val="10"/>
          <w:sz w:val="28"/>
          <w:szCs w:val="28"/>
          <w:vertAlign w:val="superscript"/>
        </w:rPr>
        <w:t>d</w:t>
      </w:r>
      <w:r w:rsidR="00F37C82" w:rsidRPr="00EE61B2">
        <w:rPr>
          <w:position w:val="10"/>
          <w:sz w:val="28"/>
          <w:szCs w:val="28"/>
          <w:vertAlign w:val="superscript"/>
        </w:rPr>
        <w:t>)</w:t>
      </w:r>
    </w:p>
    <w:p w14:paraId="5BE66B3A" w14:textId="6E5C7AF9" w:rsidR="00EE61B2" w:rsidRPr="007F270A" w:rsidRDefault="00EE61B2" w:rsidP="00EE61B2">
      <w:pPr>
        <w:jc w:val="center"/>
        <w:rPr>
          <w:lang w:val="en-US"/>
        </w:rPr>
      </w:pPr>
      <w:r>
        <w:rPr>
          <w:vertAlign w:val="superscript"/>
          <w:lang w:val="en-US"/>
        </w:rPr>
        <w:t>1</w:t>
      </w:r>
      <w:r w:rsidRPr="00A06403">
        <w:rPr>
          <w:i/>
          <w:iCs/>
          <w:lang w:val="en-US"/>
        </w:rPr>
        <w:t xml:space="preserve">Tashkent Institute of Chemical Technology, 32 </w:t>
      </w:r>
      <w:proofErr w:type="spellStart"/>
      <w:r w:rsidRPr="00A06403">
        <w:rPr>
          <w:i/>
          <w:iCs/>
          <w:lang w:val="en-US"/>
        </w:rPr>
        <w:t>Navoi</w:t>
      </w:r>
      <w:proofErr w:type="spellEnd"/>
      <w:r w:rsidRPr="00A06403">
        <w:rPr>
          <w:i/>
          <w:iCs/>
          <w:lang w:val="en-US"/>
        </w:rPr>
        <w:t xml:space="preserve"> Street, Tashkent 100011, Uzbekistan</w:t>
      </w:r>
      <w:r w:rsidRPr="00A06403">
        <w:rPr>
          <w:i/>
          <w:iCs/>
          <w:lang w:val="en-US"/>
        </w:rPr>
        <w:br/>
      </w:r>
      <w:r>
        <w:rPr>
          <w:bCs/>
          <w:vertAlign w:val="superscript"/>
          <w:lang w:val="en-US"/>
        </w:rPr>
        <w:t>2</w:t>
      </w:r>
      <w:r w:rsidRPr="00A06403">
        <w:rPr>
          <w:bCs/>
          <w:i/>
          <w:iCs/>
          <w:lang w:val="en-US"/>
        </w:rPr>
        <w:t xml:space="preserve">Tashkent State Transport University, 1 </w:t>
      </w:r>
      <w:proofErr w:type="spellStart"/>
      <w:r w:rsidRPr="00A06403">
        <w:rPr>
          <w:bCs/>
          <w:i/>
          <w:iCs/>
          <w:lang w:val="en-US"/>
        </w:rPr>
        <w:t>Temiryulchilar</w:t>
      </w:r>
      <w:proofErr w:type="spellEnd"/>
      <w:r w:rsidRPr="00A06403">
        <w:rPr>
          <w:bCs/>
          <w:i/>
          <w:iCs/>
          <w:lang w:val="en-US"/>
        </w:rPr>
        <w:t xml:space="preserve"> St., Tashkent 100167, Uzbekistan</w:t>
      </w:r>
    </w:p>
    <w:p w14:paraId="1549A05C" w14:textId="3863F0F2" w:rsidR="00A037AD" w:rsidRPr="00EE61B2" w:rsidRDefault="00EE61B2" w:rsidP="00EE61B2">
      <w:pPr>
        <w:spacing w:before="360" w:after="360"/>
        <w:jc w:val="center"/>
        <w:rPr>
          <w:i/>
          <w:iCs/>
          <w:color w:val="000000" w:themeColor="text1"/>
        </w:rPr>
      </w:pPr>
      <w:r w:rsidRPr="00EE61B2">
        <w:rPr>
          <w:i/>
          <w:iCs/>
          <w:color w:val="000000" w:themeColor="text1"/>
          <w:vertAlign w:val="superscript"/>
        </w:rPr>
        <w:t>a)</w:t>
      </w:r>
      <w:r w:rsidRPr="00EE61B2">
        <w:rPr>
          <w:i/>
          <w:iCs/>
          <w:color w:val="000000" w:themeColor="text1"/>
        </w:rPr>
        <w:t xml:space="preserve"> </w:t>
      </w:r>
      <w:r w:rsidR="00A02F91" w:rsidRPr="00EE61B2">
        <w:rPr>
          <w:i/>
          <w:iCs/>
          <w:color w:val="000000" w:themeColor="text1"/>
        </w:rPr>
        <w:t>Corresponding author: a)</w:t>
      </w:r>
      <w:hyperlink r:id="rId8" w:history="1">
        <w:r w:rsidR="00A037AD" w:rsidRPr="00EE61B2">
          <w:rPr>
            <w:rStyle w:val="ad"/>
            <w:i/>
            <w:iCs/>
            <w:color w:val="000000" w:themeColor="text1"/>
            <w:u w:val="none"/>
          </w:rPr>
          <w:t>murodjon.vapayev@mail.ru</w:t>
        </w:r>
      </w:hyperlink>
      <w:r w:rsidRPr="00EE61B2">
        <w:rPr>
          <w:i/>
          <w:iCs/>
          <w:color w:val="000000" w:themeColor="text1"/>
        </w:rPr>
        <w:br/>
      </w:r>
      <w:r w:rsidR="00BE3AD5" w:rsidRPr="00EE61B2">
        <w:rPr>
          <w:i/>
          <w:iCs/>
          <w:color w:val="000000" w:themeColor="text1"/>
          <w:vertAlign w:val="superscript"/>
        </w:rPr>
        <w:t>b)</w:t>
      </w:r>
      <w:r w:rsidRPr="00EE61B2">
        <w:rPr>
          <w:i/>
          <w:iCs/>
          <w:color w:val="000000" w:themeColor="text1"/>
          <w:vertAlign w:val="superscript"/>
        </w:rPr>
        <w:t xml:space="preserve"> </w:t>
      </w:r>
      <w:hyperlink r:id="rId9" w:history="1">
        <w:r w:rsidRPr="00EE61B2">
          <w:rPr>
            <w:rStyle w:val="ad"/>
            <w:i/>
            <w:iCs/>
            <w:color w:val="000000" w:themeColor="text1"/>
            <w:u w:val="none"/>
          </w:rPr>
          <w:t>elmira-teshaboeva@mail.ru</w:t>
        </w:r>
      </w:hyperlink>
      <w:r w:rsidRPr="00EE61B2">
        <w:rPr>
          <w:i/>
          <w:iCs/>
          <w:color w:val="000000" w:themeColor="text1"/>
        </w:rPr>
        <w:br/>
      </w:r>
      <w:r w:rsidR="00A02F91" w:rsidRPr="00EE61B2">
        <w:rPr>
          <w:i/>
          <w:iCs/>
          <w:color w:val="000000" w:themeColor="text1"/>
          <w:vertAlign w:val="superscript"/>
        </w:rPr>
        <w:t>c)</w:t>
      </w:r>
      <w:r w:rsidRPr="00EE61B2">
        <w:rPr>
          <w:i/>
          <w:iCs/>
          <w:color w:val="000000" w:themeColor="text1"/>
          <w:vertAlign w:val="superscript"/>
        </w:rPr>
        <w:t xml:space="preserve"> </w:t>
      </w:r>
      <w:hyperlink r:id="rId10" w:history="1">
        <w:r w:rsidRPr="00EE61B2">
          <w:rPr>
            <w:rStyle w:val="ad"/>
            <w:i/>
            <w:iCs/>
            <w:color w:val="000000" w:themeColor="text1"/>
            <w:u w:val="none"/>
          </w:rPr>
          <w:t>xushnudbek6600@mail.ru</w:t>
        </w:r>
      </w:hyperlink>
      <w:r w:rsidRPr="00EE61B2">
        <w:rPr>
          <w:i/>
          <w:iCs/>
          <w:color w:val="000000" w:themeColor="text1"/>
        </w:rPr>
        <w:br/>
      </w:r>
      <w:r w:rsidR="00A02F91" w:rsidRPr="00EE61B2">
        <w:rPr>
          <w:i/>
          <w:iCs/>
          <w:color w:val="000000" w:themeColor="text1"/>
          <w:vertAlign w:val="superscript"/>
        </w:rPr>
        <w:t>d)</w:t>
      </w:r>
      <w:r w:rsidRPr="00EE61B2">
        <w:rPr>
          <w:i/>
          <w:iCs/>
          <w:color w:val="000000" w:themeColor="text1"/>
        </w:rPr>
        <w:t xml:space="preserve"> </w:t>
      </w:r>
      <w:hyperlink r:id="rId11" w:history="1">
        <w:r w:rsidRPr="00EE61B2">
          <w:rPr>
            <w:rStyle w:val="ad"/>
            <w:i/>
            <w:iCs/>
            <w:color w:val="000000" w:themeColor="text1"/>
            <w:u w:val="none"/>
          </w:rPr>
          <w:t>jasurbeksobirov19951908@gmail.com</w:t>
        </w:r>
      </w:hyperlink>
    </w:p>
    <w:p w14:paraId="39B33736" w14:textId="2E13CA2D" w:rsidR="004E0685" w:rsidRPr="00EE61B2" w:rsidRDefault="008153B4" w:rsidP="00EE61B2">
      <w:pPr>
        <w:spacing w:after="360"/>
        <w:ind w:left="289" w:right="289"/>
        <w:jc w:val="both"/>
        <w:rPr>
          <w:bCs/>
          <w:sz w:val="18"/>
          <w:szCs w:val="18"/>
        </w:rPr>
      </w:pPr>
      <w:r w:rsidRPr="00EE61B2">
        <w:rPr>
          <w:rFonts w:eastAsia="Times"/>
          <w:b/>
          <w:sz w:val="18"/>
          <w:szCs w:val="18"/>
        </w:rPr>
        <w:t>Abstract.</w:t>
      </w:r>
      <w:r w:rsidR="008C45C8" w:rsidRPr="00EE61B2">
        <w:rPr>
          <w:color w:val="212529"/>
          <w:sz w:val="18"/>
          <w:szCs w:val="18"/>
          <w:lang w:val="en-US"/>
        </w:rPr>
        <w:t> </w:t>
      </w:r>
      <w:r w:rsidR="004E0685" w:rsidRPr="00EE61B2">
        <w:rPr>
          <w:color w:val="212529"/>
          <w:sz w:val="18"/>
          <w:szCs w:val="18"/>
          <w:lang w:val="en-US"/>
        </w:rPr>
        <w:t xml:space="preserve"> </w:t>
      </w:r>
      <w:r w:rsidR="004E0685" w:rsidRPr="00EE61B2">
        <w:rPr>
          <w:sz w:val="18"/>
          <w:szCs w:val="18"/>
        </w:rPr>
        <w:t>This study explores the performance of alternative plasticizers, including a by-product of gas pyrolysis, in comparison with the commonly used industrial plasticizer dibutyl phthalate (DBP), to determine their influence on the processing and technical characteristics of elastomeric composites. The findings suggest that the gas pyrolysis residue significantly contributes to the structural development of elastomeric materials through interactions involving donor-acceptor bonding, and concurrently helps suppress thermo-oxidative and photochemical degradation. Under thermal aging conditions, composites plasticized with the residue exhibited improved tensile strength over time relative to samples stabilized using the "Neozone-D" antioxidant. Meanwhile, elongation at break slightly decreased, and both the hardness and the –C–C– bond density within the vulcanization network increased. These results demonstrate that active compounds within the pyrolysis residue enhance structural reinforcement in elastomeric composites during prolonged exposure to heat.</w:t>
      </w:r>
    </w:p>
    <w:p w14:paraId="7C483103" w14:textId="08E307D9" w:rsidR="00810365" w:rsidRPr="00EE61B2" w:rsidRDefault="008153B4" w:rsidP="00EE61B2">
      <w:pPr>
        <w:pStyle w:val="ac"/>
        <w:shd w:val="clear" w:color="auto" w:fill="FFFFFF"/>
        <w:spacing w:before="0" w:beforeAutospacing="0" w:after="0" w:afterAutospacing="0"/>
        <w:ind w:left="289" w:right="289"/>
        <w:rPr>
          <w:color w:val="212529"/>
          <w:sz w:val="20"/>
          <w:szCs w:val="20"/>
          <w:lang w:val="en-US"/>
        </w:rPr>
      </w:pPr>
      <w:r w:rsidRPr="00EE61B2">
        <w:rPr>
          <w:rFonts w:eastAsia="Times"/>
          <w:b/>
          <w:sz w:val="20"/>
          <w:szCs w:val="20"/>
          <w:lang w:val="en-US"/>
        </w:rPr>
        <w:t xml:space="preserve">Keywords: </w:t>
      </w:r>
      <w:r w:rsidR="00A037AD" w:rsidRPr="00EE61B2">
        <w:rPr>
          <w:color w:val="212529"/>
          <w:sz w:val="20"/>
          <w:szCs w:val="20"/>
          <w:lang w:val="en-US"/>
        </w:rPr>
        <w:t>Composition, plasticity, kinetics, technology, viscosity, aging, plasticizer, elastomer, vulcanization, plasticization</w:t>
      </w:r>
    </w:p>
    <w:p w14:paraId="50E53EF2" w14:textId="0269668B" w:rsidR="00274BE6" w:rsidRPr="00810365" w:rsidRDefault="00EE61B2" w:rsidP="00EE61B2">
      <w:pPr>
        <w:spacing w:before="240" w:after="240"/>
        <w:jc w:val="center"/>
        <w:rPr>
          <w:color w:val="212529"/>
          <w:sz w:val="24"/>
          <w:szCs w:val="24"/>
          <w:lang w:val="en-US"/>
        </w:rPr>
      </w:pPr>
      <w:r w:rsidRPr="00810365">
        <w:rPr>
          <w:rFonts w:eastAsia="Times"/>
          <w:b/>
          <w:sz w:val="24"/>
          <w:szCs w:val="24"/>
        </w:rPr>
        <w:t>INTRODUCTION</w:t>
      </w:r>
    </w:p>
    <w:p w14:paraId="3E7C6C18" w14:textId="26D493D7" w:rsidR="00A037AD" w:rsidRPr="00701CD3" w:rsidRDefault="00A037AD" w:rsidP="00EE61B2">
      <w:pPr>
        <w:shd w:val="clear" w:color="auto" w:fill="FFFFFF"/>
        <w:ind w:firstLine="284"/>
        <w:jc w:val="both"/>
        <w:rPr>
          <w:color w:val="212529"/>
          <w:lang w:val="en-US" w:eastAsia="ru-RU"/>
        </w:rPr>
      </w:pPr>
      <w:r w:rsidRPr="00701CD3">
        <w:rPr>
          <w:color w:val="212529"/>
          <w:lang w:val="en-US" w:eastAsia="ru-RU"/>
        </w:rPr>
        <w:t>In transport engineering, aviation, metallurgy, the chemical and food industries, and agriculture, rubber products and tires based on elastomers are widely used. To improve their structure, ingredients derived from organic and inorganic substances are incorporated. It is important to develop ingredients that improve the technological properties of elastomer-based rubber products and tires, structurally adjust their physical-mechanical, dynamic, and special properties, taking into account specific requirements [1,</w:t>
      </w:r>
      <w:r w:rsidR="00EE61B2">
        <w:rPr>
          <w:color w:val="212529"/>
          <w:lang w:val="en-US" w:eastAsia="ru-RU"/>
        </w:rPr>
        <w:t xml:space="preserve"> </w:t>
      </w:r>
      <w:r w:rsidRPr="00701CD3">
        <w:rPr>
          <w:color w:val="212529"/>
          <w:lang w:val="en-US" w:eastAsia="ru-RU"/>
        </w:rPr>
        <w:t>2].</w:t>
      </w:r>
    </w:p>
    <w:p w14:paraId="464B9DB3" w14:textId="44385714" w:rsidR="00A037AD" w:rsidRPr="00701CD3" w:rsidRDefault="00A037AD" w:rsidP="00EE61B2">
      <w:pPr>
        <w:shd w:val="clear" w:color="auto" w:fill="FFFFFF"/>
        <w:ind w:firstLine="284"/>
        <w:jc w:val="both"/>
        <w:rPr>
          <w:color w:val="212529"/>
          <w:lang w:val="en-US" w:eastAsia="ru-RU"/>
        </w:rPr>
      </w:pPr>
      <w:r w:rsidRPr="00701CD3">
        <w:rPr>
          <w:color w:val="212529"/>
          <w:lang w:val="en-US" w:eastAsia="ru-RU"/>
        </w:rPr>
        <w:t>Scientific research is focused on obtaining organic and inorganic ingredients from oil and gas refining products and recycled materials, developing methods for their modification, studying their physicochemical properties and structure, justifying their influence on the properties of compositions to tailor the structure of rubber products and tires based on elastomers to pre-determined requirements, and using them in the development of the composition and production technology of rubber products used in the transport, aviation, metallurgical, chemical, and food industries, as well as in agriculture [3,</w:t>
      </w:r>
      <w:r w:rsidR="00EE61B2">
        <w:rPr>
          <w:color w:val="212529"/>
          <w:lang w:val="en-US" w:eastAsia="ru-RU"/>
        </w:rPr>
        <w:t xml:space="preserve"> </w:t>
      </w:r>
      <w:r w:rsidRPr="00701CD3">
        <w:rPr>
          <w:color w:val="212529"/>
          <w:lang w:val="en-US" w:eastAsia="ru-RU"/>
        </w:rPr>
        <w:t>4].</w:t>
      </w:r>
    </w:p>
    <w:p w14:paraId="23822C4C" w14:textId="7E7D0CAC" w:rsidR="00C81BC4" w:rsidRDefault="00A037AD" w:rsidP="00EE61B2">
      <w:pPr>
        <w:shd w:val="clear" w:color="auto" w:fill="FFFFFF"/>
        <w:ind w:firstLine="284"/>
        <w:jc w:val="both"/>
        <w:rPr>
          <w:color w:val="212529"/>
          <w:lang w:val="en-US" w:eastAsia="ru-RU"/>
        </w:rPr>
      </w:pPr>
      <w:r w:rsidRPr="00701CD3">
        <w:rPr>
          <w:color w:val="212529"/>
          <w:lang w:val="en-US" w:eastAsia="ru-RU"/>
        </w:rPr>
        <w:t xml:space="preserve">One method of elastomer modification is plasticization. </w:t>
      </w:r>
      <w:r w:rsidR="004E0685" w:rsidRPr="004E0685">
        <w:rPr>
          <w:color w:val="212529"/>
          <w:lang w:val="en-US" w:eastAsia="ru-RU"/>
        </w:rPr>
        <w:t>Plasticization involves modifying the behavior of polymers through the addition of low-molecular-weight compounds known as plasticizers. These additives influence key characteristics such as system viscosity, molecular flexibility, and the dynamics of supramolecular arrangements. Their primary purpose is to enhance the processability and elasticity of polymer materials during</w:t>
      </w:r>
      <w:r w:rsidR="004E0685">
        <w:rPr>
          <w:color w:val="212529"/>
          <w:lang w:val="en-US" w:eastAsia="ru-RU"/>
        </w:rPr>
        <w:t xml:space="preserve"> manufacturing and application. </w:t>
      </w:r>
      <w:r w:rsidRPr="00701CD3">
        <w:rPr>
          <w:color w:val="212529"/>
          <w:lang w:val="en-US" w:eastAsia="ru-RU"/>
        </w:rPr>
        <w:t>[5</w:t>
      </w:r>
      <w:r w:rsidR="00EE61B2">
        <w:rPr>
          <w:color w:val="212529"/>
          <w:lang w:val="en-US" w:eastAsia="ru-RU"/>
        </w:rPr>
        <w:t xml:space="preserve">, </w:t>
      </w:r>
      <w:r w:rsidRPr="00701CD3">
        <w:rPr>
          <w:color w:val="212529"/>
          <w:lang w:val="en-US" w:eastAsia="ru-RU"/>
        </w:rPr>
        <w:t xml:space="preserve">6]. </w:t>
      </w:r>
    </w:p>
    <w:p w14:paraId="695BFC7D" w14:textId="50638368" w:rsidR="00A037AD" w:rsidRDefault="00EE61B2" w:rsidP="00EE61B2">
      <w:pPr>
        <w:shd w:val="clear" w:color="auto" w:fill="FFFFFF"/>
        <w:spacing w:before="240" w:after="240"/>
        <w:jc w:val="center"/>
        <w:rPr>
          <w:color w:val="212529"/>
          <w:sz w:val="24"/>
          <w:szCs w:val="24"/>
          <w:lang w:val="en-US" w:eastAsia="ru-RU"/>
        </w:rPr>
      </w:pPr>
      <w:r w:rsidRPr="00AC3434">
        <w:rPr>
          <w:b/>
          <w:bCs/>
          <w:color w:val="212529"/>
          <w:sz w:val="24"/>
          <w:szCs w:val="24"/>
          <w:lang w:val="en-US" w:eastAsia="ru-RU"/>
        </w:rPr>
        <w:t>OBJECTIVE AND METHODS</w:t>
      </w:r>
    </w:p>
    <w:p w14:paraId="1A2F6D78" w14:textId="7D7B70C9" w:rsidR="00A037AD" w:rsidRDefault="004E0685" w:rsidP="00EE61B2">
      <w:pPr>
        <w:shd w:val="clear" w:color="auto" w:fill="FFFFFF"/>
        <w:ind w:firstLine="284"/>
        <w:jc w:val="both"/>
        <w:rPr>
          <w:color w:val="212529"/>
          <w:lang w:val="en-US" w:eastAsia="ru-RU"/>
        </w:rPr>
      </w:pPr>
      <w:r>
        <w:t>This study was conducted to evaluate the potential of a tar-like by-product derived from gas pyrolysis resin</w:t>
      </w:r>
      <w:r w:rsidR="00EE61B2">
        <w:t>-</w:t>
      </w:r>
      <w:r>
        <w:t>generated as waste during polymer manufacturing</w:t>
      </w:r>
      <w:r w:rsidR="00AD1CB3">
        <w:t>-</w:t>
      </w:r>
      <w:r>
        <w:t>as an effective plasticizing agent within elastomeric formulations.</w:t>
      </w:r>
    </w:p>
    <w:p w14:paraId="7D677AAA" w14:textId="723AC1A3" w:rsidR="00A037AD" w:rsidRDefault="00AD1CB3" w:rsidP="00AD1CB3">
      <w:pPr>
        <w:shd w:val="clear" w:color="auto" w:fill="FFFFFF"/>
        <w:spacing w:after="240"/>
        <w:jc w:val="center"/>
        <w:rPr>
          <w:rFonts w:ascii="Segoe UI" w:hAnsi="Segoe UI" w:cs="Segoe UI"/>
          <w:color w:val="212529"/>
          <w:sz w:val="24"/>
          <w:szCs w:val="24"/>
          <w:lang w:val="en-US" w:eastAsia="ru-RU"/>
        </w:rPr>
      </w:pPr>
      <w:r w:rsidRPr="00E91F03">
        <w:rPr>
          <w:b/>
          <w:bCs/>
          <w:color w:val="212529"/>
          <w:sz w:val="24"/>
          <w:szCs w:val="24"/>
          <w:lang w:val="en-US" w:eastAsia="ru-RU"/>
        </w:rPr>
        <w:lastRenderedPageBreak/>
        <w:t>OBJECTS AND METHODS OF INVESTIGATION</w:t>
      </w:r>
    </w:p>
    <w:p w14:paraId="37BC6A4D" w14:textId="347BAC57" w:rsidR="004E0685" w:rsidRPr="004E0685" w:rsidRDefault="004E0685" w:rsidP="00AD1CB3">
      <w:pPr>
        <w:shd w:val="clear" w:color="auto" w:fill="FFFFFF"/>
        <w:ind w:firstLine="284"/>
        <w:jc w:val="both"/>
        <w:rPr>
          <w:color w:val="212529"/>
          <w:lang w:val="en-US" w:eastAsia="ru-RU"/>
        </w:rPr>
      </w:pPr>
      <w:r w:rsidRPr="004E0685">
        <w:rPr>
          <w:color w:val="212529"/>
          <w:lang w:val="en-US" w:eastAsia="ru-RU"/>
        </w:rPr>
        <w:t>The materials utilized in this research included standard rubber formulations based on SKI-3, SKMS-30ARKM-15, and SKEPT elastomers, along with a secondary tar fraction derived from gas pyrolysis resin</w:t>
      </w:r>
      <w:r w:rsidR="00AD1CB3">
        <w:rPr>
          <w:color w:val="212529"/>
          <w:lang w:val="en-US" w:eastAsia="ru-RU"/>
        </w:rPr>
        <w:t>-</w:t>
      </w:r>
      <w:r w:rsidRPr="004E0685">
        <w:rPr>
          <w:color w:val="212529"/>
          <w:lang w:val="en-US" w:eastAsia="ru-RU"/>
        </w:rPr>
        <w:t xml:space="preserve">a by-product originating from polymer manufacturing processes. The compounding of rubber mixtures was conducted using laboratory rolling mills and a </w:t>
      </w:r>
      <w:proofErr w:type="spellStart"/>
      <w:r w:rsidRPr="004E0685">
        <w:rPr>
          <w:color w:val="212529"/>
          <w:lang w:val="en-US" w:eastAsia="ru-RU"/>
        </w:rPr>
        <w:t>Brabender</w:t>
      </w:r>
      <w:proofErr w:type="spellEnd"/>
      <w:r w:rsidRPr="004E0685">
        <w:rPr>
          <w:color w:val="212529"/>
          <w:lang w:val="en-US" w:eastAsia="ru-RU"/>
        </w:rPr>
        <w:t xml:space="preserve"> </w:t>
      </w:r>
      <w:proofErr w:type="spellStart"/>
      <w:r w:rsidRPr="004E0685">
        <w:rPr>
          <w:color w:val="212529"/>
          <w:lang w:val="en-US" w:eastAsia="ru-RU"/>
        </w:rPr>
        <w:t>Plastorder</w:t>
      </w:r>
      <w:proofErr w:type="spellEnd"/>
      <w:r w:rsidRPr="004E0685">
        <w:rPr>
          <w:color w:val="212529"/>
          <w:lang w:val="en-US" w:eastAsia="ru-RU"/>
        </w:rPr>
        <w:t xml:space="preserve"> PIU-151 internal mixer equipped with a 75 cm³ chamber, operating at a rotor speed of 30 revolutions per minute and an initial temperature of 343 ± 3 K. The chamber was filled to 77% of its volume. The plasticizing agent was incorporated into the elastomeric matrix at varying concentrations of 2.5, 5.0, 7.5, and 10.0 parts by weight per 100 parts of rubber. A reference formulation lacking any plasticizer was employed as the control.</w:t>
      </w:r>
    </w:p>
    <w:p w14:paraId="04840B60" w14:textId="425297C7" w:rsidR="00846087" w:rsidRDefault="004E0685" w:rsidP="00AD1CB3">
      <w:pPr>
        <w:shd w:val="clear" w:color="auto" w:fill="FFFFFF"/>
        <w:ind w:firstLine="284"/>
        <w:jc w:val="both"/>
        <w:rPr>
          <w:b/>
          <w:bCs/>
          <w:color w:val="212529"/>
          <w:sz w:val="22"/>
          <w:szCs w:val="22"/>
          <w:lang w:val="en-US" w:eastAsia="ru-RU"/>
        </w:rPr>
      </w:pPr>
      <w:r w:rsidRPr="004E0685">
        <w:rPr>
          <w:color w:val="212529"/>
          <w:lang w:val="en-US" w:eastAsia="ru-RU"/>
        </w:rPr>
        <w:t xml:space="preserve">To assess the </w:t>
      </w:r>
      <w:proofErr w:type="spellStart"/>
      <w:r w:rsidRPr="004E0685">
        <w:rPr>
          <w:color w:val="212529"/>
          <w:lang w:val="en-US" w:eastAsia="ru-RU"/>
        </w:rPr>
        <w:t>plastoelastic</w:t>
      </w:r>
      <w:proofErr w:type="spellEnd"/>
      <w:r w:rsidRPr="004E0685">
        <w:rPr>
          <w:color w:val="212529"/>
          <w:lang w:val="en-US" w:eastAsia="ru-RU"/>
        </w:rPr>
        <w:t xml:space="preserve"> behavior of the prepared compounds, measurements were carried out using the MV2000 shear disk viscometer in accordance with GOST 10722–76. Vulcanization kinetics were evaluated using the ODR2000 rheometer following GOST 12535–84. Hardness and elastic recovery were determined using </w:t>
      </w:r>
      <w:proofErr w:type="spellStart"/>
      <w:r w:rsidRPr="004E0685">
        <w:rPr>
          <w:color w:val="212529"/>
          <w:lang w:val="en-US" w:eastAsia="ru-RU"/>
        </w:rPr>
        <w:t>Defo</w:t>
      </w:r>
      <w:proofErr w:type="spellEnd"/>
      <w:r w:rsidRPr="004E0685">
        <w:rPr>
          <w:color w:val="212529"/>
          <w:lang w:val="en-US" w:eastAsia="ru-RU"/>
        </w:rPr>
        <w:t xml:space="preserve"> equipment under GOST 1020–95 standards. Additional mechanical and physical properties of the vulcanized samples were characterized in compliance with the applicable GOST protocols</w:t>
      </w:r>
      <w:r w:rsidR="001B7B1F" w:rsidRPr="001B7B1F">
        <w:rPr>
          <w:color w:val="212529"/>
          <w:lang w:val="en-US" w:eastAsia="ru-RU"/>
        </w:rPr>
        <w:t xml:space="preserve"> </w:t>
      </w:r>
      <w:r w:rsidR="001B7B1F">
        <w:rPr>
          <w:color w:val="212529"/>
          <w:lang w:val="en-US" w:eastAsia="ru-RU"/>
        </w:rPr>
        <w:t>[7, 8, 9]</w:t>
      </w:r>
      <w:r w:rsidRPr="004E0685">
        <w:rPr>
          <w:color w:val="212529"/>
          <w:lang w:val="en-US" w:eastAsia="ru-RU"/>
        </w:rPr>
        <w:t>.</w:t>
      </w:r>
    </w:p>
    <w:p w14:paraId="29AAD347" w14:textId="22C624A8" w:rsidR="000B2FC1" w:rsidRPr="00AD1CB3" w:rsidRDefault="00AD1CB3" w:rsidP="00AD1CB3">
      <w:pPr>
        <w:shd w:val="clear" w:color="auto" w:fill="FFFFFF"/>
        <w:spacing w:before="240" w:after="240"/>
        <w:jc w:val="center"/>
        <w:rPr>
          <w:b/>
          <w:bCs/>
          <w:color w:val="212529"/>
          <w:sz w:val="24"/>
          <w:szCs w:val="24"/>
          <w:lang w:val="en-US" w:eastAsia="ru-RU"/>
        </w:rPr>
      </w:pPr>
      <w:r w:rsidRPr="00AD1CB3">
        <w:rPr>
          <w:b/>
          <w:bCs/>
          <w:color w:val="212529"/>
          <w:sz w:val="24"/>
          <w:szCs w:val="24"/>
          <w:lang w:val="en-US" w:eastAsia="ru-RU"/>
        </w:rPr>
        <w:t>MAIN BODY</w:t>
      </w:r>
    </w:p>
    <w:p w14:paraId="570FC840" w14:textId="030B8056" w:rsidR="000B2FC1" w:rsidRDefault="004E0685" w:rsidP="00AD1CB3">
      <w:pPr>
        <w:shd w:val="clear" w:color="auto" w:fill="FFFFFF"/>
        <w:ind w:firstLine="284"/>
        <w:jc w:val="both"/>
        <w:rPr>
          <w:color w:val="212529"/>
          <w:lang w:val="en-US" w:eastAsia="ru-RU"/>
        </w:rPr>
      </w:pPr>
      <w:r>
        <w:t xml:space="preserve">It is well-established that tar-like residues originating from gas pyrolysis resin are generated as by-products in the course of polymer production. Analytical observations indicate that the gas pyrolysis resin typically exists as a black, odorless solid (see </w:t>
      </w:r>
      <w:r w:rsidR="00077F81">
        <w:t>t</w:t>
      </w:r>
      <w:r>
        <w:t>able 1).</w:t>
      </w:r>
    </w:p>
    <w:p w14:paraId="297B4AEF" w14:textId="5584A486" w:rsidR="0005303B" w:rsidRPr="0005303B" w:rsidRDefault="00AD1CB3" w:rsidP="00AD1CB3">
      <w:pPr>
        <w:suppressAutoHyphens/>
        <w:spacing w:before="120"/>
        <w:jc w:val="center"/>
        <w:rPr>
          <w:b/>
          <w:sz w:val="18"/>
          <w:szCs w:val="18"/>
          <w:lang w:val="en-US"/>
        </w:rPr>
      </w:pPr>
      <w:bookmarkStart w:id="1" w:name="OLE_LINK8"/>
      <w:bookmarkStart w:id="2" w:name="OLE_LINK9"/>
      <w:r w:rsidRPr="004E0685">
        <w:rPr>
          <w:b/>
          <w:bCs/>
          <w:color w:val="212529"/>
          <w:sz w:val="18"/>
          <w:szCs w:val="18"/>
          <w:lang w:val="en-US" w:eastAsia="ru-RU"/>
        </w:rPr>
        <w:t>TABLE</w:t>
      </w:r>
      <w:r w:rsidR="004E0685" w:rsidRPr="004E0685">
        <w:rPr>
          <w:b/>
          <w:bCs/>
          <w:color w:val="212529"/>
          <w:sz w:val="18"/>
          <w:szCs w:val="18"/>
          <w:lang w:val="en-US" w:eastAsia="ru-RU"/>
        </w:rPr>
        <w:t xml:space="preserve"> 1. </w:t>
      </w:r>
      <w:r w:rsidR="004E0685" w:rsidRPr="00AD1CB3">
        <w:rPr>
          <w:color w:val="212529"/>
          <w:sz w:val="18"/>
          <w:szCs w:val="18"/>
          <w:lang w:val="en-US" w:eastAsia="ru-RU"/>
        </w:rPr>
        <w:t>Molecular Composition of By-Product from Gas Pyrolysis Resin</w:t>
      </w:r>
    </w:p>
    <w:tbl>
      <w:tblPr>
        <w:tblW w:w="5000" w:type="pct"/>
        <w:jc w:val="center"/>
        <w:tblLook w:val="04A0" w:firstRow="1" w:lastRow="0" w:firstColumn="1" w:lastColumn="0" w:noHBand="0" w:noVBand="1"/>
      </w:tblPr>
      <w:tblGrid>
        <w:gridCol w:w="1228"/>
        <w:gridCol w:w="1529"/>
        <w:gridCol w:w="1352"/>
        <w:gridCol w:w="1803"/>
        <w:gridCol w:w="1272"/>
        <w:gridCol w:w="1161"/>
        <w:gridCol w:w="1294"/>
      </w:tblGrid>
      <w:tr w:rsidR="0005303B" w:rsidRPr="00AD1CB3" w14:paraId="5D382DFB" w14:textId="77777777" w:rsidTr="004E0685">
        <w:trPr>
          <w:cantSplit/>
          <w:trHeight w:val="707"/>
          <w:jc w:val="center"/>
        </w:trPr>
        <w:tc>
          <w:tcPr>
            <w:tcW w:w="661" w:type="pct"/>
            <w:tcBorders>
              <w:top w:val="single" w:sz="4" w:space="0" w:color="auto"/>
              <w:bottom w:val="single" w:sz="4" w:space="0" w:color="auto"/>
            </w:tcBorders>
            <w:vAlign w:val="center"/>
            <w:hideMark/>
          </w:tcPr>
          <w:bookmarkEnd w:id="1"/>
          <w:bookmarkEnd w:id="2"/>
          <w:p w14:paraId="1027038C" w14:textId="1B1490BB" w:rsidR="0005303B" w:rsidRPr="00AD1CB3" w:rsidRDefault="004E0685" w:rsidP="00AD1CB3">
            <w:pPr>
              <w:suppressAutoHyphens/>
              <w:adjustRightInd w:val="0"/>
              <w:jc w:val="center"/>
              <w:rPr>
                <w:b/>
              </w:rPr>
            </w:pPr>
            <w:r w:rsidRPr="00AD1CB3">
              <w:rPr>
                <w:b/>
              </w:rPr>
              <w:t>Carbon Atom Count</w:t>
            </w:r>
          </w:p>
        </w:tc>
        <w:tc>
          <w:tcPr>
            <w:tcW w:w="817" w:type="pct"/>
            <w:tcBorders>
              <w:top w:val="single" w:sz="4" w:space="0" w:color="auto"/>
              <w:bottom w:val="single" w:sz="4" w:space="0" w:color="auto"/>
            </w:tcBorders>
            <w:vAlign w:val="center"/>
            <w:hideMark/>
          </w:tcPr>
          <w:p w14:paraId="43BFCB4B" w14:textId="77777777" w:rsidR="0005303B" w:rsidRPr="00AD1CB3" w:rsidRDefault="0005303B" w:rsidP="00AD1CB3">
            <w:pPr>
              <w:suppressAutoHyphens/>
              <w:adjustRightInd w:val="0"/>
              <w:jc w:val="center"/>
              <w:rPr>
                <w:b/>
              </w:rPr>
            </w:pPr>
            <w:r w:rsidRPr="00AD1CB3">
              <w:rPr>
                <w:b/>
              </w:rPr>
              <w:t>Alkanes</w:t>
            </w:r>
          </w:p>
        </w:tc>
        <w:tc>
          <w:tcPr>
            <w:tcW w:w="725" w:type="pct"/>
            <w:tcBorders>
              <w:top w:val="single" w:sz="4" w:space="0" w:color="auto"/>
              <w:bottom w:val="single" w:sz="4" w:space="0" w:color="auto"/>
            </w:tcBorders>
            <w:vAlign w:val="center"/>
            <w:hideMark/>
          </w:tcPr>
          <w:p w14:paraId="2FE6CBA2" w14:textId="7E109BB7" w:rsidR="0005303B" w:rsidRPr="00AD1CB3" w:rsidRDefault="004E0685" w:rsidP="00AD1CB3">
            <w:pPr>
              <w:suppressAutoHyphens/>
              <w:adjustRightInd w:val="0"/>
              <w:jc w:val="center"/>
              <w:rPr>
                <w:b/>
              </w:rPr>
            </w:pPr>
            <w:r w:rsidRPr="00AD1CB3">
              <w:rPr>
                <w:b/>
              </w:rPr>
              <w:t>Diene Fraction</w:t>
            </w:r>
          </w:p>
        </w:tc>
        <w:tc>
          <w:tcPr>
            <w:tcW w:w="959" w:type="pct"/>
            <w:tcBorders>
              <w:top w:val="single" w:sz="4" w:space="0" w:color="auto"/>
              <w:bottom w:val="single" w:sz="4" w:space="0" w:color="auto"/>
            </w:tcBorders>
            <w:vAlign w:val="center"/>
            <w:hideMark/>
          </w:tcPr>
          <w:p w14:paraId="441EDDAB" w14:textId="069217B0" w:rsidR="0005303B" w:rsidRPr="00AD1CB3" w:rsidRDefault="00F62D15" w:rsidP="00AD1CB3">
            <w:pPr>
              <w:suppressAutoHyphens/>
              <w:adjustRightInd w:val="0"/>
              <w:jc w:val="center"/>
              <w:rPr>
                <w:b/>
              </w:rPr>
            </w:pPr>
            <w:r w:rsidRPr="00AD1CB3">
              <w:rPr>
                <w:b/>
              </w:rPr>
              <w:t>Olefins Content</w:t>
            </w:r>
          </w:p>
        </w:tc>
        <w:tc>
          <w:tcPr>
            <w:tcW w:w="587" w:type="pct"/>
            <w:tcBorders>
              <w:top w:val="single" w:sz="4" w:space="0" w:color="auto"/>
              <w:bottom w:val="single" w:sz="4" w:space="0" w:color="auto"/>
            </w:tcBorders>
            <w:vAlign w:val="center"/>
            <w:hideMark/>
          </w:tcPr>
          <w:p w14:paraId="6F2ABE76" w14:textId="0234A548" w:rsidR="0005303B" w:rsidRPr="00AD1CB3" w:rsidRDefault="00F62D15" w:rsidP="00AD1CB3">
            <w:pPr>
              <w:suppressAutoHyphens/>
              <w:adjustRightInd w:val="0"/>
              <w:jc w:val="center"/>
              <w:rPr>
                <w:b/>
              </w:rPr>
            </w:pPr>
            <w:r w:rsidRPr="00AD1CB3">
              <w:rPr>
                <w:b/>
              </w:rPr>
              <w:t>Cycloalkane Compounds</w:t>
            </w:r>
          </w:p>
        </w:tc>
        <w:tc>
          <w:tcPr>
            <w:tcW w:w="626" w:type="pct"/>
            <w:tcBorders>
              <w:top w:val="single" w:sz="4" w:space="0" w:color="auto"/>
              <w:bottom w:val="single" w:sz="4" w:space="0" w:color="auto"/>
            </w:tcBorders>
            <w:vAlign w:val="center"/>
            <w:hideMark/>
          </w:tcPr>
          <w:p w14:paraId="55D9B0CC" w14:textId="77777777" w:rsidR="0005303B" w:rsidRPr="00AD1CB3" w:rsidRDefault="0005303B" w:rsidP="00AD1CB3">
            <w:pPr>
              <w:suppressAutoHyphens/>
              <w:adjustRightInd w:val="0"/>
              <w:jc w:val="center"/>
              <w:rPr>
                <w:b/>
              </w:rPr>
            </w:pPr>
            <w:r w:rsidRPr="00AD1CB3">
              <w:rPr>
                <w:b/>
              </w:rPr>
              <w:t>Arenes</w:t>
            </w:r>
          </w:p>
        </w:tc>
        <w:tc>
          <w:tcPr>
            <w:tcW w:w="625" w:type="pct"/>
            <w:tcBorders>
              <w:top w:val="single" w:sz="4" w:space="0" w:color="auto"/>
              <w:bottom w:val="single" w:sz="4" w:space="0" w:color="auto"/>
            </w:tcBorders>
            <w:vAlign w:val="center"/>
            <w:hideMark/>
          </w:tcPr>
          <w:p w14:paraId="1B606CBC" w14:textId="38AE6B01" w:rsidR="0005303B" w:rsidRPr="00AD1CB3" w:rsidRDefault="00F62D15" w:rsidP="00AD1CB3">
            <w:pPr>
              <w:suppressAutoHyphens/>
              <w:adjustRightInd w:val="0"/>
              <w:jc w:val="center"/>
              <w:rPr>
                <w:b/>
              </w:rPr>
            </w:pPr>
            <w:r w:rsidRPr="00AD1CB3">
              <w:rPr>
                <w:b/>
              </w:rPr>
              <w:t>Sum of Components</w:t>
            </w:r>
          </w:p>
        </w:tc>
      </w:tr>
      <w:tr w:rsidR="0005303B" w:rsidRPr="00AD1CB3" w14:paraId="27C76CD2" w14:textId="77777777" w:rsidTr="004E0685">
        <w:trPr>
          <w:trHeight w:val="109"/>
          <w:jc w:val="center"/>
        </w:trPr>
        <w:tc>
          <w:tcPr>
            <w:tcW w:w="661" w:type="pct"/>
            <w:tcBorders>
              <w:top w:val="single" w:sz="4" w:space="0" w:color="auto"/>
            </w:tcBorders>
            <w:hideMark/>
          </w:tcPr>
          <w:p w14:paraId="4F48CD2D" w14:textId="77777777" w:rsidR="0005303B" w:rsidRPr="00AD1CB3" w:rsidRDefault="0005303B" w:rsidP="00AD1CB3">
            <w:pPr>
              <w:suppressAutoHyphens/>
              <w:adjustRightInd w:val="0"/>
              <w:jc w:val="center"/>
            </w:pPr>
            <w:r w:rsidRPr="00AD1CB3">
              <w:t>5</w:t>
            </w:r>
          </w:p>
        </w:tc>
        <w:tc>
          <w:tcPr>
            <w:tcW w:w="817" w:type="pct"/>
            <w:tcBorders>
              <w:top w:val="single" w:sz="4" w:space="0" w:color="auto"/>
            </w:tcBorders>
            <w:hideMark/>
          </w:tcPr>
          <w:p w14:paraId="36F40CC4" w14:textId="77777777" w:rsidR="0005303B" w:rsidRPr="00AD1CB3" w:rsidRDefault="0005303B" w:rsidP="00AD1CB3">
            <w:pPr>
              <w:suppressAutoHyphens/>
              <w:adjustRightInd w:val="0"/>
              <w:jc w:val="center"/>
            </w:pPr>
            <w:r w:rsidRPr="00AD1CB3">
              <w:t>0,8</w:t>
            </w:r>
          </w:p>
        </w:tc>
        <w:tc>
          <w:tcPr>
            <w:tcW w:w="725" w:type="pct"/>
            <w:tcBorders>
              <w:top w:val="single" w:sz="4" w:space="0" w:color="auto"/>
            </w:tcBorders>
            <w:hideMark/>
          </w:tcPr>
          <w:p w14:paraId="4B9A97BD" w14:textId="77777777" w:rsidR="0005303B" w:rsidRPr="00AD1CB3" w:rsidRDefault="0005303B" w:rsidP="00AD1CB3">
            <w:pPr>
              <w:suppressAutoHyphens/>
              <w:adjustRightInd w:val="0"/>
              <w:jc w:val="center"/>
            </w:pPr>
            <w:r w:rsidRPr="00AD1CB3">
              <w:t>0,89</w:t>
            </w:r>
          </w:p>
        </w:tc>
        <w:tc>
          <w:tcPr>
            <w:tcW w:w="959" w:type="pct"/>
            <w:tcBorders>
              <w:top w:val="single" w:sz="4" w:space="0" w:color="auto"/>
            </w:tcBorders>
            <w:hideMark/>
          </w:tcPr>
          <w:p w14:paraId="04BC1404" w14:textId="77777777" w:rsidR="0005303B" w:rsidRPr="00AD1CB3" w:rsidRDefault="0005303B" w:rsidP="00AD1CB3">
            <w:pPr>
              <w:suppressAutoHyphens/>
              <w:adjustRightInd w:val="0"/>
              <w:jc w:val="center"/>
            </w:pPr>
            <w:r w:rsidRPr="00AD1CB3">
              <w:t>4,91</w:t>
            </w:r>
          </w:p>
        </w:tc>
        <w:tc>
          <w:tcPr>
            <w:tcW w:w="587" w:type="pct"/>
            <w:tcBorders>
              <w:top w:val="single" w:sz="4" w:space="0" w:color="auto"/>
            </w:tcBorders>
            <w:hideMark/>
          </w:tcPr>
          <w:p w14:paraId="3E589593" w14:textId="77777777" w:rsidR="0005303B" w:rsidRPr="00AD1CB3" w:rsidRDefault="0005303B" w:rsidP="00AD1CB3">
            <w:pPr>
              <w:suppressAutoHyphens/>
              <w:adjustRightInd w:val="0"/>
              <w:jc w:val="center"/>
            </w:pPr>
            <w:r w:rsidRPr="00AD1CB3">
              <w:t>0,19</w:t>
            </w:r>
          </w:p>
        </w:tc>
        <w:tc>
          <w:tcPr>
            <w:tcW w:w="626" w:type="pct"/>
            <w:tcBorders>
              <w:top w:val="single" w:sz="4" w:space="0" w:color="auto"/>
            </w:tcBorders>
            <w:hideMark/>
          </w:tcPr>
          <w:p w14:paraId="676F041D" w14:textId="77777777" w:rsidR="0005303B" w:rsidRPr="00AD1CB3" w:rsidRDefault="0005303B" w:rsidP="00AD1CB3">
            <w:pPr>
              <w:suppressAutoHyphens/>
              <w:adjustRightInd w:val="0"/>
              <w:jc w:val="center"/>
            </w:pPr>
            <w:r w:rsidRPr="00AD1CB3">
              <w:t>0</w:t>
            </w:r>
          </w:p>
        </w:tc>
        <w:tc>
          <w:tcPr>
            <w:tcW w:w="625" w:type="pct"/>
            <w:tcBorders>
              <w:top w:val="single" w:sz="4" w:space="0" w:color="auto"/>
            </w:tcBorders>
            <w:hideMark/>
          </w:tcPr>
          <w:p w14:paraId="28FDB2F7" w14:textId="77777777" w:rsidR="0005303B" w:rsidRPr="00AD1CB3" w:rsidRDefault="0005303B" w:rsidP="00AD1CB3">
            <w:pPr>
              <w:suppressAutoHyphens/>
              <w:adjustRightInd w:val="0"/>
              <w:jc w:val="center"/>
            </w:pPr>
            <w:r w:rsidRPr="00AD1CB3">
              <w:t>6,79</w:t>
            </w:r>
          </w:p>
        </w:tc>
      </w:tr>
      <w:tr w:rsidR="0005303B" w:rsidRPr="00AD1CB3" w14:paraId="29BE2191" w14:textId="77777777" w:rsidTr="004E0685">
        <w:trPr>
          <w:trHeight w:val="109"/>
          <w:jc w:val="center"/>
        </w:trPr>
        <w:tc>
          <w:tcPr>
            <w:tcW w:w="661" w:type="pct"/>
            <w:hideMark/>
          </w:tcPr>
          <w:p w14:paraId="28A68BE2" w14:textId="77777777" w:rsidR="0005303B" w:rsidRPr="00AD1CB3" w:rsidRDefault="0005303B" w:rsidP="00AD1CB3">
            <w:pPr>
              <w:suppressAutoHyphens/>
              <w:adjustRightInd w:val="0"/>
              <w:jc w:val="center"/>
            </w:pPr>
            <w:r w:rsidRPr="00AD1CB3">
              <w:t>6</w:t>
            </w:r>
          </w:p>
        </w:tc>
        <w:tc>
          <w:tcPr>
            <w:tcW w:w="817" w:type="pct"/>
            <w:hideMark/>
          </w:tcPr>
          <w:p w14:paraId="18511D8B" w14:textId="77777777" w:rsidR="0005303B" w:rsidRPr="00AD1CB3" w:rsidRDefault="0005303B" w:rsidP="00AD1CB3">
            <w:pPr>
              <w:suppressAutoHyphens/>
              <w:adjustRightInd w:val="0"/>
              <w:jc w:val="center"/>
            </w:pPr>
            <w:r w:rsidRPr="00AD1CB3">
              <w:t>0,22</w:t>
            </w:r>
          </w:p>
        </w:tc>
        <w:tc>
          <w:tcPr>
            <w:tcW w:w="725" w:type="pct"/>
            <w:hideMark/>
          </w:tcPr>
          <w:p w14:paraId="7AE71910" w14:textId="77777777" w:rsidR="0005303B" w:rsidRPr="00AD1CB3" w:rsidRDefault="0005303B" w:rsidP="00AD1CB3">
            <w:pPr>
              <w:suppressAutoHyphens/>
              <w:adjustRightInd w:val="0"/>
              <w:jc w:val="center"/>
            </w:pPr>
            <w:r w:rsidRPr="00AD1CB3">
              <w:t>0,41</w:t>
            </w:r>
          </w:p>
        </w:tc>
        <w:tc>
          <w:tcPr>
            <w:tcW w:w="959" w:type="pct"/>
            <w:hideMark/>
          </w:tcPr>
          <w:p w14:paraId="0EB9642A" w14:textId="77777777" w:rsidR="0005303B" w:rsidRPr="00AD1CB3" w:rsidRDefault="0005303B" w:rsidP="00AD1CB3">
            <w:pPr>
              <w:suppressAutoHyphens/>
              <w:adjustRightInd w:val="0"/>
              <w:jc w:val="center"/>
            </w:pPr>
            <w:r w:rsidRPr="00AD1CB3">
              <w:t>3,87</w:t>
            </w:r>
          </w:p>
        </w:tc>
        <w:tc>
          <w:tcPr>
            <w:tcW w:w="587" w:type="pct"/>
            <w:hideMark/>
          </w:tcPr>
          <w:p w14:paraId="794461B7" w14:textId="77777777" w:rsidR="0005303B" w:rsidRPr="00AD1CB3" w:rsidRDefault="0005303B" w:rsidP="00AD1CB3">
            <w:pPr>
              <w:suppressAutoHyphens/>
              <w:adjustRightInd w:val="0"/>
              <w:jc w:val="center"/>
            </w:pPr>
            <w:r w:rsidRPr="00AD1CB3">
              <w:t>0,41</w:t>
            </w:r>
          </w:p>
        </w:tc>
        <w:tc>
          <w:tcPr>
            <w:tcW w:w="626" w:type="pct"/>
            <w:hideMark/>
          </w:tcPr>
          <w:p w14:paraId="4F65AE1A" w14:textId="77777777" w:rsidR="0005303B" w:rsidRPr="00AD1CB3" w:rsidRDefault="0005303B" w:rsidP="00AD1CB3">
            <w:pPr>
              <w:suppressAutoHyphens/>
              <w:adjustRightInd w:val="0"/>
              <w:jc w:val="center"/>
            </w:pPr>
            <w:r w:rsidRPr="00AD1CB3">
              <w:t>32,94</w:t>
            </w:r>
          </w:p>
        </w:tc>
        <w:tc>
          <w:tcPr>
            <w:tcW w:w="625" w:type="pct"/>
            <w:hideMark/>
          </w:tcPr>
          <w:p w14:paraId="0AD508C5" w14:textId="77777777" w:rsidR="0005303B" w:rsidRPr="00AD1CB3" w:rsidRDefault="0005303B" w:rsidP="00AD1CB3">
            <w:pPr>
              <w:suppressAutoHyphens/>
              <w:adjustRightInd w:val="0"/>
              <w:jc w:val="center"/>
            </w:pPr>
            <w:r w:rsidRPr="00AD1CB3">
              <w:t>37,85</w:t>
            </w:r>
          </w:p>
        </w:tc>
      </w:tr>
      <w:tr w:rsidR="0005303B" w:rsidRPr="00AD1CB3" w14:paraId="16DC1CEE" w14:textId="77777777" w:rsidTr="004E0685">
        <w:trPr>
          <w:trHeight w:val="109"/>
          <w:jc w:val="center"/>
        </w:trPr>
        <w:tc>
          <w:tcPr>
            <w:tcW w:w="661" w:type="pct"/>
            <w:hideMark/>
          </w:tcPr>
          <w:p w14:paraId="7E1A93C2" w14:textId="77777777" w:rsidR="0005303B" w:rsidRPr="00AD1CB3" w:rsidRDefault="0005303B" w:rsidP="00AD1CB3">
            <w:pPr>
              <w:suppressAutoHyphens/>
              <w:adjustRightInd w:val="0"/>
              <w:jc w:val="center"/>
            </w:pPr>
            <w:r w:rsidRPr="00AD1CB3">
              <w:t>7</w:t>
            </w:r>
          </w:p>
        </w:tc>
        <w:tc>
          <w:tcPr>
            <w:tcW w:w="817" w:type="pct"/>
            <w:hideMark/>
          </w:tcPr>
          <w:p w14:paraId="5CA382BE" w14:textId="77777777" w:rsidR="0005303B" w:rsidRPr="00AD1CB3" w:rsidRDefault="0005303B" w:rsidP="00AD1CB3">
            <w:pPr>
              <w:suppressAutoHyphens/>
              <w:adjustRightInd w:val="0"/>
              <w:jc w:val="center"/>
            </w:pPr>
            <w:r w:rsidRPr="00AD1CB3">
              <w:t>0,25</w:t>
            </w:r>
          </w:p>
        </w:tc>
        <w:tc>
          <w:tcPr>
            <w:tcW w:w="725" w:type="pct"/>
            <w:hideMark/>
          </w:tcPr>
          <w:p w14:paraId="07DBAA3D" w14:textId="77777777" w:rsidR="0005303B" w:rsidRPr="00AD1CB3" w:rsidRDefault="0005303B" w:rsidP="00AD1CB3">
            <w:pPr>
              <w:suppressAutoHyphens/>
              <w:adjustRightInd w:val="0"/>
              <w:jc w:val="center"/>
            </w:pPr>
            <w:r w:rsidRPr="00AD1CB3">
              <w:t>0,14</w:t>
            </w:r>
          </w:p>
        </w:tc>
        <w:tc>
          <w:tcPr>
            <w:tcW w:w="959" w:type="pct"/>
            <w:hideMark/>
          </w:tcPr>
          <w:p w14:paraId="111E9944" w14:textId="77777777" w:rsidR="0005303B" w:rsidRPr="00AD1CB3" w:rsidRDefault="0005303B" w:rsidP="00AD1CB3">
            <w:pPr>
              <w:suppressAutoHyphens/>
              <w:adjustRightInd w:val="0"/>
              <w:jc w:val="center"/>
            </w:pPr>
            <w:r w:rsidRPr="00AD1CB3">
              <w:t>0,84</w:t>
            </w:r>
          </w:p>
        </w:tc>
        <w:tc>
          <w:tcPr>
            <w:tcW w:w="587" w:type="pct"/>
            <w:hideMark/>
          </w:tcPr>
          <w:p w14:paraId="5DEA7488" w14:textId="77777777" w:rsidR="0005303B" w:rsidRPr="00AD1CB3" w:rsidRDefault="0005303B" w:rsidP="00AD1CB3">
            <w:pPr>
              <w:suppressAutoHyphens/>
              <w:adjustRightInd w:val="0"/>
              <w:jc w:val="center"/>
            </w:pPr>
            <w:r w:rsidRPr="00AD1CB3">
              <w:t>0,45</w:t>
            </w:r>
          </w:p>
        </w:tc>
        <w:tc>
          <w:tcPr>
            <w:tcW w:w="626" w:type="pct"/>
            <w:hideMark/>
          </w:tcPr>
          <w:p w14:paraId="06857368" w14:textId="77777777" w:rsidR="0005303B" w:rsidRPr="00AD1CB3" w:rsidRDefault="0005303B" w:rsidP="00AD1CB3">
            <w:pPr>
              <w:suppressAutoHyphens/>
              <w:adjustRightInd w:val="0"/>
              <w:jc w:val="center"/>
            </w:pPr>
            <w:r w:rsidRPr="00AD1CB3">
              <w:t>11,23</w:t>
            </w:r>
          </w:p>
        </w:tc>
        <w:tc>
          <w:tcPr>
            <w:tcW w:w="625" w:type="pct"/>
            <w:hideMark/>
          </w:tcPr>
          <w:p w14:paraId="48A902C5" w14:textId="77777777" w:rsidR="0005303B" w:rsidRPr="00AD1CB3" w:rsidRDefault="0005303B" w:rsidP="00AD1CB3">
            <w:pPr>
              <w:suppressAutoHyphens/>
              <w:adjustRightInd w:val="0"/>
              <w:jc w:val="center"/>
            </w:pPr>
            <w:r w:rsidRPr="00AD1CB3">
              <w:t>12,91</w:t>
            </w:r>
          </w:p>
        </w:tc>
      </w:tr>
      <w:tr w:rsidR="0005303B" w:rsidRPr="00AD1CB3" w14:paraId="5EA0DDBA" w14:textId="77777777" w:rsidTr="004E0685">
        <w:trPr>
          <w:trHeight w:val="109"/>
          <w:jc w:val="center"/>
        </w:trPr>
        <w:tc>
          <w:tcPr>
            <w:tcW w:w="661" w:type="pct"/>
            <w:hideMark/>
          </w:tcPr>
          <w:p w14:paraId="154E9661" w14:textId="77777777" w:rsidR="0005303B" w:rsidRPr="00AD1CB3" w:rsidRDefault="0005303B" w:rsidP="00AD1CB3">
            <w:pPr>
              <w:suppressAutoHyphens/>
              <w:adjustRightInd w:val="0"/>
              <w:jc w:val="center"/>
            </w:pPr>
            <w:r w:rsidRPr="00AD1CB3">
              <w:t>8</w:t>
            </w:r>
          </w:p>
        </w:tc>
        <w:tc>
          <w:tcPr>
            <w:tcW w:w="817" w:type="pct"/>
            <w:hideMark/>
          </w:tcPr>
          <w:p w14:paraId="02EBB865" w14:textId="77777777" w:rsidR="0005303B" w:rsidRPr="00AD1CB3" w:rsidRDefault="0005303B" w:rsidP="00AD1CB3">
            <w:pPr>
              <w:suppressAutoHyphens/>
              <w:adjustRightInd w:val="0"/>
              <w:jc w:val="center"/>
            </w:pPr>
            <w:r w:rsidRPr="00AD1CB3">
              <w:t>0,12</w:t>
            </w:r>
          </w:p>
        </w:tc>
        <w:tc>
          <w:tcPr>
            <w:tcW w:w="725" w:type="pct"/>
            <w:hideMark/>
          </w:tcPr>
          <w:p w14:paraId="280DB42A" w14:textId="77777777" w:rsidR="0005303B" w:rsidRPr="00AD1CB3" w:rsidRDefault="0005303B" w:rsidP="00AD1CB3">
            <w:pPr>
              <w:suppressAutoHyphens/>
              <w:adjustRightInd w:val="0"/>
              <w:jc w:val="center"/>
            </w:pPr>
            <w:r w:rsidRPr="00AD1CB3">
              <w:t>0,08</w:t>
            </w:r>
          </w:p>
        </w:tc>
        <w:tc>
          <w:tcPr>
            <w:tcW w:w="959" w:type="pct"/>
            <w:hideMark/>
          </w:tcPr>
          <w:p w14:paraId="30C56EF3" w14:textId="77777777" w:rsidR="0005303B" w:rsidRPr="00AD1CB3" w:rsidRDefault="0005303B" w:rsidP="00AD1CB3">
            <w:pPr>
              <w:suppressAutoHyphens/>
              <w:adjustRightInd w:val="0"/>
              <w:jc w:val="center"/>
            </w:pPr>
            <w:r w:rsidRPr="00AD1CB3">
              <w:t>0,18</w:t>
            </w:r>
          </w:p>
        </w:tc>
        <w:tc>
          <w:tcPr>
            <w:tcW w:w="587" w:type="pct"/>
            <w:hideMark/>
          </w:tcPr>
          <w:p w14:paraId="213E39E5" w14:textId="77777777" w:rsidR="0005303B" w:rsidRPr="00AD1CB3" w:rsidRDefault="0005303B" w:rsidP="00AD1CB3">
            <w:pPr>
              <w:suppressAutoHyphens/>
              <w:adjustRightInd w:val="0"/>
              <w:jc w:val="center"/>
            </w:pPr>
            <w:r w:rsidRPr="00AD1CB3">
              <w:t>0,48</w:t>
            </w:r>
          </w:p>
        </w:tc>
        <w:tc>
          <w:tcPr>
            <w:tcW w:w="626" w:type="pct"/>
            <w:hideMark/>
          </w:tcPr>
          <w:p w14:paraId="6B3FC2F5" w14:textId="77777777" w:rsidR="0005303B" w:rsidRPr="00AD1CB3" w:rsidRDefault="0005303B" w:rsidP="00AD1CB3">
            <w:pPr>
              <w:suppressAutoHyphens/>
              <w:adjustRightInd w:val="0"/>
              <w:jc w:val="center"/>
            </w:pPr>
            <w:r w:rsidRPr="00AD1CB3">
              <w:t>9,75</w:t>
            </w:r>
          </w:p>
        </w:tc>
        <w:tc>
          <w:tcPr>
            <w:tcW w:w="625" w:type="pct"/>
            <w:hideMark/>
          </w:tcPr>
          <w:p w14:paraId="082716C3" w14:textId="77777777" w:rsidR="0005303B" w:rsidRPr="00AD1CB3" w:rsidRDefault="0005303B" w:rsidP="00AD1CB3">
            <w:pPr>
              <w:suppressAutoHyphens/>
              <w:adjustRightInd w:val="0"/>
              <w:jc w:val="center"/>
            </w:pPr>
            <w:r w:rsidRPr="00AD1CB3">
              <w:t>10,61</w:t>
            </w:r>
          </w:p>
        </w:tc>
      </w:tr>
      <w:tr w:rsidR="0005303B" w:rsidRPr="00AD1CB3" w14:paraId="7F278B33" w14:textId="77777777" w:rsidTr="004E0685">
        <w:trPr>
          <w:trHeight w:val="109"/>
          <w:jc w:val="center"/>
        </w:trPr>
        <w:tc>
          <w:tcPr>
            <w:tcW w:w="661" w:type="pct"/>
            <w:hideMark/>
          </w:tcPr>
          <w:p w14:paraId="5C670CD3" w14:textId="77777777" w:rsidR="0005303B" w:rsidRPr="00AD1CB3" w:rsidRDefault="0005303B" w:rsidP="00AD1CB3">
            <w:pPr>
              <w:suppressAutoHyphens/>
              <w:adjustRightInd w:val="0"/>
              <w:jc w:val="center"/>
            </w:pPr>
            <w:r w:rsidRPr="00AD1CB3">
              <w:t>9</w:t>
            </w:r>
          </w:p>
        </w:tc>
        <w:tc>
          <w:tcPr>
            <w:tcW w:w="817" w:type="pct"/>
            <w:hideMark/>
          </w:tcPr>
          <w:p w14:paraId="7863D5D6" w14:textId="77777777" w:rsidR="0005303B" w:rsidRPr="00AD1CB3" w:rsidRDefault="0005303B" w:rsidP="00AD1CB3">
            <w:pPr>
              <w:suppressAutoHyphens/>
              <w:adjustRightInd w:val="0"/>
              <w:jc w:val="center"/>
            </w:pPr>
            <w:r w:rsidRPr="00AD1CB3">
              <w:t>0,04</w:t>
            </w:r>
          </w:p>
        </w:tc>
        <w:tc>
          <w:tcPr>
            <w:tcW w:w="725" w:type="pct"/>
            <w:hideMark/>
          </w:tcPr>
          <w:p w14:paraId="290F751E" w14:textId="77777777" w:rsidR="0005303B" w:rsidRPr="00AD1CB3" w:rsidRDefault="0005303B" w:rsidP="00AD1CB3">
            <w:pPr>
              <w:suppressAutoHyphens/>
              <w:adjustRightInd w:val="0"/>
              <w:jc w:val="center"/>
            </w:pPr>
            <w:r w:rsidRPr="00AD1CB3">
              <w:t>0,1</w:t>
            </w:r>
          </w:p>
        </w:tc>
        <w:tc>
          <w:tcPr>
            <w:tcW w:w="959" w:type="pct"/>
            <w:hideMark/>
          </w:tcPr>
          <w:p w14:paraId="510CDBD6" w14:textId="77777777" w:rsidR="0005303B" w:rsidRPr="00AD1CB3" w:rsidRDefault="0005303B" w:rsidP="00AD1CB3">
            <w:pPr>
              <w:suppressAutoHyphens/>
              <w:adjustRightInd w:val="0"/>
              <w:jc w:val="center"/>
            </w:pPr>
            <w:r w:rsidRPr="00AD1CB3">
              <w:t>0,04</w:t>
            </w:r>
          </w:p>
        </w:tc>
        <w:tc>
          <w:tcPr>
            <w:tcW w:w="587" w:type="pct"/>
            <w:hideMark/>
          </w:tcPr>
          <w:p w14:paraId="755A75B5" w14:textId="77777777" w:rsidR="0005303B" w:rsidRPr="00AD1CB3" w:rsidRDefault="0005303B" w:rsidP="00AD1CB3">
            <w:pPr>
              <w:suppressAutoHyphens/>
              <w:adjustRightInd w:val="0"/>
              <w:jc w:val="center"/>
            </w:pPr>
            <w:r w:rsidRPr="00AD1CB3">
              <w:t>0,15</w:t>
            </w:r>
          </w:p>
        </w:tc>
        <w:tc>
          <w:tcPr>
            <w:tcW w:w="626" w:type="pct"/>
            <w:hideMark/>
          </w:tcPr>
          <w:p w14:paraId="2A62A035" w14:textId="77777777" w:rsidR="0005303B" w:rsidRPr="00AD1CB3" w:rsidRDefault="0005303B" w:rsidP="00AD1CB3">
            <w:pPr>
              <w:suppressAutoHyphens/>
              <w:adjustRightInd w:val="0"/>
              <w:jc w:val="center"/>
            </w:pPr>
            <w:r w:rsidRPr="00AD1CB3">
              <w:t>7,56</w:t>
            </w:r>
          </w:p>
        </w:tc>
        <w:tc>
          <w:tcPr>
            <w:tcW w:w="625" w:type="pct"/>
            <w:hideMark/>
          </w:tcPr>
          <w:p w14:paraId="24A8EA0C" w14:textId="77777777" w:rsidR="0005303B" w:rsidRPr="00AD1CB3" w:rsidRDefault="0005303B" w:rsidP="00AD1CB3">
            <w:pPr>
              <w:suppressAutoHyphens/>
              <w:adjustRightInd w:val="0"/>
              <w:jc w:val="center"/>
            </w:pPr>
            <w:r w:rsidRPr="00AD1CB3">
              <w:t>7,89</w:t>
            </w:r>
          </w:p>
        </w:tc>
      </w:tr>
      <w:tr w:rsidR="0005303B" w:rsidRPr="00AD1CB3" w14:paraId="2946F0E5" w14:textId="77777777" w:rsidTr="004E0685">
        <w:trPr>
          <w:trHeight w:val="109"/>
          <w:jc w:val="center"/>
        </w:trPr>
        <w:tc>
          <w:tcPr>
            <w:tcW w:w="661" w:type="pct"/>
            <w:hideMark/>
          </w:tcPr>
          <w:p w14:paraId="2B141040" w14:textId="77777777" w:rsidR="0005303B" w:rsidRPr="00AD1CB3" w:rsidRDefault="0005303B" w:rsidP="00AD1CB3">
            <w:pPr>
              <w:suppressAutoHyphens/>
              <w:adjustRightInd w:val="0"/>
              <w:jc w:val="center"/>
            </w:pPr>
            <w:r w:rsidRPr="00AD1CB3">
              <w:t>10</w:t>
            </w:r>
          </w:p>
        </w:tc>
        <w:tc>
          <w:tcPr>
            <w:tcW w:w="817" w:type="pct"/>
            <w:hideMark/>
          </w:tcPr>
          <w:p w14:paraId="3BC0304E" w14:textId="77777777" w:rsidR="0005303B" w:rsidRPr="00AD1CB3" w:rsidRDefault="0005303B" w:rsidP="00AD1CB3">
            <w:pPr>
              <w:suppressAutoHyphens/>
              <w:adjustRightInd w:val="0"/>
              <w:jc w:val="center"/>
            </w:pPr>
            <w:r w:rsidRPr="00AD1CB3">
              <w:t>0,03</w:t>
            </w:r>
          </w:p>
        </w:tc>
        <w:tc>
          <w:tcPr>
            <w:tcW w:w="725" w:type="pct"/>
            <w:hideMark/>
          </w:tcPr>
          <w:p w14:paraId="5709FDFF" w14:textId="77777777" w:rsidR="0005303B" w:rsidRPr="00AD1CB3" w:rsidRDefault="0005303B" w:rsidP="00AD1CB3">
            <w:pPr>
              <w:suppressAutoHyphens/>
              <w:adjustRightInd w:val="0"/>
              <w:jc w:val="center"/>
            </w:pPr>
            <w:r w:rsidRPr="00AD1CB3">
              <w:t>0,11</w:t>
            </w:r>
          </w:p>
        </w:tc>
        <w:tc>
          <w:tcPr>
            <w:tcW w:w="959" w:type="pct"/>
            <w:hideMark/>
          </w:tcPr>
          <w:p w14:paraId="3561FB6D" w14:textId="77777777" w:rsidR="0005303B" w:rsidRPr="00AD1CB3" w:rsidRDefault="0005303B" w:rsidP="00AD1CB3">
            <w:pPr>
              <w:suppressAutoHyphens/>
              <w:adjustRightInd w:val="0"/>
              <w:jc w:val="center"/>
            </w:pPr>
            <w:r w:rsidRPr="00AD1CB3">
              <w:t>9,07</w:t>
            </w:r>
          </w:p>
        </w:tc>
        <w:tc>
          <w:tcPr>
            <w:tcW w:w="587" w:type="pct"/>
            <w:hideMark/>
          </w:tcPr>
          <w:p w14:paraId="0AF74BA2" w14:textId="77777777" w:rsidR="0005303B" w:rsidRPr="00AD1CB3" w:rsidRDefault="0005303B" w:rsidP="00AD1CB3">
            <w:pPr>
              <w:suppressAutoHyphens/>
              <w:adjustRightInd w:val="0"/>
              <w:jc w:val="center"/>
            </w:pPr>
            <w:r w:rsidRPr="00AD1CB3">
              <w:t>0,4</w:t>
            </w:r>
          </w:p>
        </w:tc>
        <w:tc>
          <w:tcPr>
            <w:tcW w:w="626" w:type="pct"/>
            <w:hideMark/>
          </w:tcPr>
          <w:p w14:paraId="4C1D40D2" w14:textId="77777777" w:rsidR="0005303B" w:rsidRPr="00AD1CB3" w:rsidRDefault="0005303B" w:rsidP="00AD1CB3">
            <w:pPr>
              <w:suppressAutoHyphens/>
              <w:adjustRightInd w:val="0"/>
              <w:jc w:val="center"/>
            </w:pPr>
            <w:r w:rsidRPr="00AD1CB3">
              <w:t>5,23</w:t>
            </w:r>
          </w:p>
        </w:tc>
        <w:tc>
          <w:tcPr>
            <w:tcW w:w="625" w:type="pct"/>
            <w:hideMark/>
          </w:tcPr>
          <w:p w14:paraId="194C9042" w14:textId="77777777" w:rsidR="0005303B" w:rsidRPr="00AD1CB3" w:rsidRDefault="0005303B" w:rsidP="00AD1CB3">
            <w:pPr>
              <w:suppressAutoHyphens/>
              <w:adjustRightInd w:val="0"/>
              <w:jc w:val="center"/>
            </w:pPr>
            <w:r w:rsidRPr="00AD1CB3">
              <w:t>14,84</w:t>
            </w:r>
          </w:p>
        </w:tc>
      </w:tr>
      <w:tr w:rsidR="0005303B" w:rsidRPr="00AD1CB3" w14:paraId="37F94EE8" w14:textId="77777777" w:rsidTr="004E0685">
        <w:trPr>
          <w:trHeight w:val="109"/>
          <w:jc w:val="center"/>
        </w:trPr>
        <w:tc>
          <w:tcPr>
            <w:tcW w:w="661" w:type="pct"/>
            <w:hideMark/>
          </w:tcPr>
          <w:p w14:paraId="21944E85" w14:textId="77777777" w:rsidR="0005303B" w:rsidRPr="00AD1CB3" w:rsidRDefault="0005303B" w:rsidP="00AD1CB3">
            <w:pPr>
              <w:suppressAutoHyphens/>
              <w:adjustRightInd w:val="0"/>
              <w:jc w:val="center"/>
            </w:pPr>
            <w:r w:rsidRPr="00AD1CB3">
              <w:t>11</w:t>
            </w:r>
          </w:p>
        </w:tc>
        <w:tc>
          <w:tcPr>
            <w:tcW w:w="817" w:type="pct"/>
            <w:hideMark/>
          </w:tcPr>
          <w:p w14:paraId="5195092D" w14:textId="77777777" w:rsidR="0005303B" w:rsidRPr="00AD1CB3" w:rsidRDefault="0005303B" w:rsidP="00AD1CB3">
            <w:pPr>
              <w:suppressAutoHyphens/>
              <w:adjustRightInd w:val="0"/>
              <w:jc w:val="center"/>
            </w:pPr>
            <w:r w:rsidRPr="00AD1CB3">
              <w:t>0,18</w:t>
            </w:r>
          </w:p>
        </w:tc>
        <w:tc>
          <w:tcPr>
            <w:tcW w:w="725" w:type="pct"/>
            <w:hideMark/>
          </w:tcPr>
          <w:p w14:paraId="5D8DDA6A" w14:textId="77777777" w:rsidR="0005303B" w:rsidRPr="00AD1CB3" w:rsidRDefault="0005303B" w:rsidP="00AD1CB3">
            <w:pPr>
              <w:suppressAutoHyphens/>
              <w:adjustRightInd w:val="0"/>
              <w:jc w:val="center"/>
            </w:pPr>
            <w:r w:rsidRPr="00AD1CB3">
              <w:t>0,69</w:t>
            </w:r>
          </w:p>
        </w:tc>
        <w:tc>
          <w:tcPr>
            <w:tcW w:w="959" w:type="pct"/>
            <w:hideMark/>
          </w:tcPr>
          <w:p w14:paraId="2600F0E5" w14:textId="77777777" w:rsidR="0005303B" w:rsidRPr="00AD1CB3" w:rsidRDefault="0005303B" w:rsidP="00AD1CB3">
            <w:pPr>
              <w:suppressAutoHyphens/>
              <w:adjustRightInd w:val="0"/>
              <w:jc w:val="center"/>
            </w:pPr>
            <w:r w:rsidRPr="00AD1CB3">
              <w:t>2,95</w:t>
            </w:r>
          </w:p>
        </w:tc>
        <w:tc>
          <w:tcPr>
            <w:tcW w:w="587" w:type="pct"/>
            <w:hideMark/>
          </w:tcPr>
          <w:p w14:paraId="0D26599C" w14:textId="77777777" w:rsidR="0005303B" w:rsidRPr="00AD1CB3" w:rsidRDefault="0005303B" w:rsidP="00AD1CB3">
            <w:pPr>
              <w:suppressAutoHyphens/>
              <w:adjustRightInd w:val="0"/>
              <w:jc w:val="center"/>
            </w:pPr>
            <w:r w:rsidRPr="00AD1CB3">
              <w:t>0</w:t>
            </w:r>
          </w:p>
        </w:tc>
        <w:tc>
          <w:tcPr>
            <w:tcW w:w="626" w:type="pct"/>
            <w:hideMark/>
          </w:tcPr>
          <w:p w14:paraId="1348760A" w14:textId="77777777" w:rsidR="0005303B" w:rsidRPr="00AD1CB3" w:rsidRDefault="0005303B" w:rsidP="00AD1CB3">
            <w:pPr>
              <w:suppressAutoHyphens/>
              <w:adjustRightInd w:val="0"/>
              <w:jc w:val="center"/>
            </w:pPr>
            <w:r w:rsidRPr="00AD1CB3">
              <w:t>0,47</w:t>
            </w:r>
          </w:p>
        </w:tc>
        <w:tc>
          <w:tcPr>
            <w:tcW w:w="625" w:type="pct"/>
            <w:hideMark/>
          </w:tcPr>
          <w:p w14:paraId="5DE5123B" w14:textId="77777777" w:rsidR="0005303B" w:rsidRPr="00AD1CB3" w:rsidRDefault="0005303B" w:rsidP="00AD1CB3">
            <w:pPr>
              <w:suppressAutoHyphens/>
              <w:adjustRightInd w:val="0"/>
              <w:jc w:val="center"/>
            </w:pPr>
            <w:r w:rsidRPr="00AD1CB3">
              <w:t>4,29</w:t>
            </w:r>
          </w:p>
        </w:tc>
      </w:tr>
      <w:tr w:rsidR="0005303B" w:rsidRPr="00AD1CB3" w14:paraId="26E1F747" w14:textId="77777777" w:rsidTr="004E0685">
        <w:trPr>
          <w:trHeight w:val="109"/>
          <w:jc w:val="center"/>
        </w:trPr>
        <w:tc>
          <w:tcPr>
            <w:tcW w:w="661" w:type="pct"/>
            <w:hideMark/>
          </w:tcPr>
          <w:p w14:paraId="7254DC37" w14:textId="77777777" w:rsidR="0005303B" w:rsidRPr="00AD1CB3" w:rsidRDefault="0005303B" w:rsidP="00AD1CB3">
            <w:pPr>
              <w:suppressAutoHyphens/>
              <w:adjustRightInd w:val="0"/>
              <w:jc w:val="center"/>
            </w:pPr>
            <w:r w:rsidRPr="00AD1CB3">
              <w:t>12</w:t>
            </w:r>
          </w:p>
        </w:tc>
        <w:tc>
          <w:tcPr>
            <w:tcW w:w="817" w:type="pct"/>
            <w:hideMark/>
          </w:tcPr>
          <w:p w14:paraId="3C912430" w14:textId="77777777" w:rsidR="0005303B" w:rsidRPr="00AD1CB3" w:rsidRDefault="0005303B" w:rsidP="00AD1CB3">
            <w:pPr>
              <w:suppressAutoHyphens/>
              <w:adjustRightInd w:val="0"/>
              <w:jc w:val="center"/>
            </w:pPr>
            <w:r w:rsidRPr="00AD1CB3">
              <w:t>0</w:t>
            </w:r>
          </w:p>
        </w:tc>
        <w:tc>
          <w:tcPr>
            <w:tcW w:w="725" w:type="pct"/>
            <w:hideMark/>
          </w:tcPr>
          <w:p w14:paraId="2726292B" w14:textId="77777777" w:rsidR="0005303B" w:rsidRPr="00AD1CB3" w:rsidRDefault="0005303B" w:rsidP="00AD1CB3">
            <w:pPr>
              <w:suppressAutoHyphens/>
              <w:adjustRightInd w:val="0"/>
              <w:jc w:val="center"/>
            </w:pPr>
            <w:r w:rsidRPr="00AD1CB3">
              <w:t>0,15</w:t>
            </w:r>
          </w:p>
        </w:tc>
        <w:tc>
          <w:tcPr>
            <w:tcW w:w="959" w:type="pct"/>
            <w:hideMark/>
          </w:tcPr>
          <w:p w14:paraId="7E062764" w14:textId="77777777" w:rsidR="0005303B" w:rsidRPr="00AD1CB3" w:rsidRDefault="0005303B" w:rsidP="00AD1CB3">
            <w:pPr>
              <w:suppressAutoHyphens/>
              <w:adjustRightInd w:val="0"/>
              <w:jc w:val="center"/>
            </w:pPr>
            <w:r w:rsidRPr="00AD1CB3">
              <w:t>1,84</w:t>
            </w:r>
          </w:p>
        </w:tc>
        <w:tc>
          <w:tcPr>
            <w:tcW w:w="587" w:type="pct"/>
            <w:hideMark/>
          </w:tcPr>
          <w:p w14:paraId="4D222030" w14:textId="77777777" w:rsidR="0005303B" w:rsidRPr="00AD1CB3" w:rsidRDefault="0005303B" w:rsidP="00AD1CB3">
            <w:pPr>
              <w:suppressAutoHyphens/>
              <w:adjustRightInd w:val="0"/>
              <w:jc w:val="center"/>
            </w:pPr>
            <w:r w:rsidRPr="00AD1CB3">
              <w:t>0</w:t>
            </w:r>
          </w:p>
        </w:tc>
        <w:tc>
          <w:tcPr>
            <w:tcW w:w="626" w:type="pct"/>
            <w:hideMark/>
          </w:tcPr>
          <w:p w14:paraId="3139AAD4" w14:textId="77777777" w:rsidR="0005303B" w:rsidRPr="00AD1CB3" w:rsidRDefault="0005303B" w:rsidP="00AD1CB3">
            <w:pPr>
              <w:suppressAutoHyphens/>
              <w:adjustRightInd w:val="0"/>
              <w:jc w:val="center"/>
            </w:pPr>
            <w:r w:rsidRPr="00AD1CB3">
              <w:t>0</w:t>
            </w:r>
          </w:p>
        </w:tc>
        <w:tc>
          <w:tcPr>
            <w:tcW w:w="625" w:type="pct"/>
            <w:hideMark/>
          </w:tcPr>
          <w:p w14:paraId="0C5B553F" w14:textId="77777777" w:rsidR="0005303B" w:rsidRPr="00AD1CB3" w:rsidRDefault="0005303B" w:rsidP="00AD1CB3">
            <w:pPr>
              <w:suppressAutoHyphens/>
              <w:adjustRightInd w:val="0"/>
              <w:jc w:val="center"/>
            </w:pPr>
            <w:r w:rsidRPr="00AD1CB3">
              <w:t>1,99</w:t>
            </w:r>
          </w:p>
        </w:tc>
      </w:tr>
      <w:tr w:rsidR="0005303B" w:rsidRPr="00AD1CB3" w14:paraId="56455237" w14:textId="77777777" w:rsidTr="004E0685">
        <w:trPr>
          <w:trHeight w:val="109"/>
          <w:jc w:val="center"/>
        </w:trPr>
        <w:tc>
          <w:tcPr>
            <w:tcW w:w="661" w:type="pct"/>
            <w:tcBorders>
              <w:bottom w:val="single" w:sz="4" w:space="0" w:color="auto"/>
            </w:tcBorders>
            <w:hideMark/>
          </w:tcPr>
          <w:p w14:paraId="45D82AC5" w14:textId="77777777" w:rsidR="0005303B" w:rsidRPr="00AD1CB3" w:rsidRDefault="0005303B" w:rsidP="00AD1CB3">
            <w:pPr>
              <w:suppressAutoHyphens/>
              <w:adjustRightInd w:val="0"/>
              <w:jc w:val="center"/>
            </w:pPr>
            <w:r w:rsidRPr="00AD1CB3">
              <w:t>Σ</w:t>
            </w:r>
          </w:p>
        </w:tc>
        <w:tc>
          <w:tcPr>
            <w:tcW w:w="817" w:type="pct"/>
            <w:tcBorders>
              <w:bottom w:val="single" w:sz="4" w:space="0" w:color="auto"/>
            </w:tcBorders>
            <w:hideMark/>
          </w:tcPr>
          <w:p w14:paraId="10EDA874" w14:textId="77777777" w:rsidR="0005303B" w:rsidRPr="00AD1CB3" w:rsidRDefault="0005303B" w:rsidP="00AD1CB3">
            <w:pPr>
              <w:suppressAutoHyphens/>
              <w:adjustRightInd w:val="0"/>
              <w:jc w:val="center"/>
            </w:pPr>
            <w:r w:rsidRPr="00AD1CB3">
              <w:t>1,64</w:t>
            </w:r>
          </w:p>
        </w:tc>
        <w:tc>
          <w:tcPr>
            <w:tcW w:w="725" w:type="pct"/>
            <w:tcBorders>
              <w:bottom w:val="single" w:sz="4" w:space="0" w:color="auto"/>
            </w:tcBorders>
            <w:hideMark/>
          </w:tcPr>
          <w:p w14:paraId="0864184D" w14:textId="77777777" w:rsidR="0005303B" w:rsidRPr="00AD1CB3" w:rsidRDefault="0005303B" w:rsidP="00AD1CB3">
            <w:pPr>
              <w:suppressAutoHyphens/>
              <w:adjustRightInd w:val="0"/>
              <w:jc w:val="center"/>
            </w:pPr>
            <w:r w:rsidRPr="00AD1CB3">
              <w:t>2,57</w:t>
            </w:r>
          </w:p>
        </w:tc>
        <w:tc>
          <w:tcPr>
            <w:tcW w:w="959" w:type="pct"/>
            <w:tcBorders>
              <w:bottom w:val="single" w:sz="4" w:space="0" w:color="auto"/>
            </w:tcBorders>
            <w:hideMark/>
          </w:tcPr>
          <w:p w14:paraId="0304F142" w14:textId="77777777" w:rsidR="0005303B" w:rsidRPr="00AD1CB3" w:rsidRDefault="0005303B" w:rsidP="00AD1CB3">
            <w:pPr>
              <w:suppressAutoHyphens/>
              <w:adjustRightInd w:val="0"/>
              <w:jc w:val="center"/>
            </w:pPr>
            <w:r w:rsidRPr="00AD1CB3">
              <w:t>23,7</w:t>
            </w:r>
          </w:p>
        </w:tc>
        <w:tc>
          <w:tcPr>
            <w:tcW w:w="587" w:type="pct"/>
            <w:tcBorders>
              <w:bottom w:val="single" w:sz="4" w:space="0" w:color="auto"/>
            </w:tcBorders>
            <w:hideMark/>
          </w:tcPr>
          <w:p w14:paraId="6FA815B0" w14:textId="77777777" w:rsidR="0005303B" w:rsidRPr="00AD1CB3" w:rsidRDefault="0005303B" w:rsidP="00AD1CB3">
            <w:pPr>
              <w:suppressAutoHyphens/>
              <w:adjustRightInd w:val="0"/>
              <w:jc w:val="center"/>
            </w:pPr>
            <w:r w:rsidRPr="00AD1CB3">
              <w:t>2,08</w:t>
            </w:r>
          </w:p>
        </w:tc>
        <w:tc>
          <w:tcPr>
            <w:tcW w:w="626" w:type="pct"/>
            <w:tcBorders>
              <w:bottom w:val="single" w:sz="4" w:space="0" w:color="auto"/>
            </w:tcBorders>
            <w:hideMark/>
          </w:tcPr>
          <w:p w14:paraId="1E55014B" w14:textId="77777777" w:rsidR="0005303B" w:rsidRPr="00AD1CB3" w:rsidRDefault="0005303B" w:rsidP="00AD1CB3">
            <w:pPr>
              <w:suppressAutoHyphens/>
              <w:adjustRightInd w:val="0"/>
              <w:jc w:val="center"/>
            </w:pPr>
            <w:r w:rsidRPr="00AD1CB3">
              <w:t>67,18</w:t>
            </w:r>
          </w:p>
        </w:tc>
        <w:tc>
          <w:tcPr>
            <w:tcW w:w="625" w:type="pct"/>
            <w:tcBorders>
              <w:bottom w:val="single" w:sz="4" w:space="0" w:color="auto"/>
            </w:tcBorders>
            <w:hideMark/>
          </w:tcPr>
          <w:p w14:paraId="3E1F6A7F" w14:textId="77777777" w:rsidR="0005303B" w:rsidRPr="00AD1CB3" w:rsidRDefault="0005303B" w:rsidP="00AD1CB3">
            <w:pPr>
              <w:suppressAutoHyphens/>
              <w:adjustRightInd w:val="0"/>
              <w:jc w:val="center"/>
            </w:pPr>
            <w:r w:rsidRPr="00AD1CB3">
              <w:t>97,17</w:t>
            </w:r>
          </w:p>
        </w:tc>
      </w:tr>
    </w:tbl>
    <w:p w14:paraId="7BFAD250" w14:textId="77777777" w:rsidR="000B4309" w:rsidRPr="000372F6" w:rsidRDefault="000B4309" w:rsidP="00AD1CB3">
      <w:pPr>
        <w:shd w:val="clear" w:color="auto" w:fill="FFFFFF"/>
        <w:spacing w:before="120"/>
        <w:ind w:firstLine="284"/>
        <w:jc w:val="both"/>
        <w:rPr>
          <w:color w:val="212529"/>
          <w:lang w:eastAsia="ru-RU"/>
        </w:rPr>
      </w:pPr>
      <w:r w:rsidRPr="000372F6">
        <w:rPr>
          <w:color w:val="212529"/>
          <w:lang w:eastAsia="ru-RU"/>
        </w:rPr>
        <w:t>Here’s the English translation:</w:t>
      </w:r>
    </w:p>
    <w:p w14:paraId="7EEB3306" w14:textId="5606C4A8" w:rsidR="00F62D15" w:rsidRPr="00F62D15" w:rsidRDefault="00F62D15" w:rsidP="00AD1CB3">
      <w:pPr>
        <w:shd w:val="clear" w:color="auto" w:fill="FFFFFF"/>
        <w:ind w:firstLine="284"/>
        <w:jc w:val="both"/>
        <w:rPr>
          <w:color w:val="212529"/>
          <w:lang w:val="en-US" w:eastAsia="ru-RU"/>
        </w:rPr>
      </w:pPr>
      <w:bookmarkStart w:id="3" w:name="OLE_LINK15"/>
      <w:bookmarkStart w:id="4" w:name="OLE_LINK16"/>
      <w:r w:rsidRPr="00F62D15">
        <w:rPr>
          <w:color w:val="212529"/>
          <w:lang w:val="en-US" w:eastAsia="ru-RU"/>
        </w:rPr>
        <w:t>The gas pyrolysis resin is primarily composed of arenes and olefins, with hydrocarbon chains ranging from six to twelve carbon atoms. Quantitative analysis reveals that olefins constitute approximately 23.7%, while arenes account for about 67.18% of the total composition. Additionally, minor fractions of alkanes, dienes, and cycloalkanes are present in the resin. Both qualitative and quantitative spectral evaluations demonstrate a high degree of component compatibility, with spectral al</w:t>
      </w:r>
      <w:r>
        <w:rPr>
          <w:color w:val="212529"/>
          <w:lang w:val="en-US" w:eastAsia="ru-RU"/>
        </w:rPr>
        <w:t>ignment in the range of 90–97%.</w:t>
      </w:r>
    </w:p>
    <w:p w14:paraId="70C5F6B1" w14:textId="7B1ECFB3" w:rsidR="00C81BC4" w:rsidRDefault="00F62D15" w:rsidP="00AD1CB3">
      <w:pPr>
        <w:shd w:val="clear" w:color="auto" w:fill="FFFFFF"/>
        <w:spacing w:after="120"/>
        <w:ind w:firstLine="284"/>
        <w:jc w:val="both"/>
        <w:rPr>
          <w:color w:val="212529"/>
          <w:lang w:val="en-US" w:eastAsia="ru-RU"/>
        </w:rPr>
      </w:pPr>
      <w:r w:rsidRPr="00F62D15">
        <w:rPr>
          <w:color w:val="212529"/>
          <w:lang w:val="en-US" w:eastAsia="ru-RU"/>
        </w:rPr>
        <w:t>Gel permeation chromatography indicates that the resin possesses an average molecular weight of approximately 1000 g/mol. Infrared (IR) spectroscopy reveals distinct absorption bands corresponding to the vibrational modes of molecular groups: a peak at 3050 cm⁻¹, attributed to C–H stretching in aromatic rings, and additional bands at 2860, 2930, and 2975 cm⁻¹, associated with methylene and methyl C–H stretching</w:t>
      </w:r>
      <w:r w:rsidR="001B7B1F">
        <w:rPr>
          <w:color w:val="212529"/>
          <w:lang w:val="en-US" w:eastAsia="ru-RU"/>
        </w:rPr>
        <w:t xml:space="preserve"> [10, 11, 12]</w:t>
      </w:r>
      <w:r w:rsidRPr="00F62D15">
        <w:rPr>
          <w:color w:val="212529"/>
          <w:lang w:val="en-US" w:eastAsia="ru-RU"/>
        </w:rPr>
        <w:t>.</w:t>
      </w:r>
      <w:bookmarkEnd w:id="3"/>
      <w:bookmarkEnd w:id="4"/>
    </w:p>
    <w:p w14:paraId="56F358CD" w14:textId="1D2A8EBA" w:rsidR="00F62D15" w:rsidRDefault="00AD1CB3" w:rsidP="00AD1CB3">
      <w:pPr>
        <w:shd w:val="clear" w:color="auto" w:fill="FFFFFF"/>
        <w:jc w:val="center"/>
        <w:rPr>
          <w:color w:val="212529"/>
          <w:lang w:val="en-US" w:eastAsia="ru-RU"/>
        </w:rPr>
      </w:pPr>
      <w:r w:rsidRPr="000372F6">
        <w:rPr>
          <w:b/>
          <w:noProof/>
          <w:lang w:val="ru-RU" w:eastAsia="ru-RU"/>
        </w:rPr>
        <w:drawing>
          <wp:inline distT="0" distB="0" distL="0" distR="0" wp14:anchorId="04B23AF5" wp14:editId="448C841F">
            <wp:extent cx="4815840" cy="2245360"/>
            <wp:effectExtent l="0" t="0" r="3810" b="2540"/>
            <wp:docPr id="3" name="Рисунок 3" descr="Chizmalar16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hizmalar16_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15840" cy="2245360"/>
                    </a:xfrm>
                    <a:prstGeom prst="rect">
                      <a:avLst/>
                    </a:prstGeom>
                    <a:noFill/>
                    <a:ln>
                      <a:noFill/>
                    </a:ln>
                  </pic:spPr>
                </pic:pic>
              </a:graphicData>
            </a:graphic>
          </wp:inline>
        </w:drawing>
      </w:r>
    </w:p>
    <w:p w14:paraId="0C71BDB1" w14:textId="0066BD73" w:rsidR="00C81BC4" w:rsidRDefault="00AD1CB3" w:rsidP="00AD1CB3">
      <w:pPr>
        <w:shd w:val="clear" w:color="auto" w:fill="FFFFFF"/>
        <w:jc w:val="center"/>
        <w:rPr>
          <w:bCs/>
          <w:sz w:val="18"/>
          <w:szCs w:val="18"/>
          <w:lang w:val="en-US"/>
        </w:rPr>
      </w:pPr>
      <w:r w:rsidRPr="000B4309">
        <w:rPr>
          <w:b/>
          <w:bCs/>
          <w:color w:val="212529"/>
          <w:sz w:val="18"/>
          <w:szCs w:val="18"/>
          <w:lang w:val="en-US" w:eastAsia="ru-RU"/>
        </w:rPr>
        <w:t>FIG</w:t>
      </w:r>
      <w:r>
        <w:rPr>
          <w:b/>
          <w:bCs/>
          <w:color w:val="212529"/>
          <w:sz w:val="18"/>
          <w:szCs w:val="18"/>
          <w:lang w:val="en-US" w:eastAsia="ru-RU"/>
        </w:rPr>
        <w:t xml:space="preserve">URE </w:t>
      </w:r>
      <w:r w:rsidR="00C81BC4" w:rsidRPr="000B4309">
        <w:rPr>
          <w:b/>
          <w:bCs/>
          <w:color w:val="212529"/>
          <w:sz w:val="18"/>
          <w:szCs w:val="18"/>
          <w:lang w:val="en-US" w:eastAsia="ru-RU"/>
        </w:rPr>
        <w:t>1.</w:t>
      </w:r>
      <w:r w:rsidR="00C81BC4">
        <w:rPr>
          <w:b/>
          <w:bCs/>
          <w:color w:val="212529"/>
          <w:sz w:val="18"/>
          <w:szCs w:val="18"/>
          <w:lang w:val="en-US" w:eastAsia="ru-RU"/>
        </w:rPr>
        <w:t xml:space="preserve"> </w:t>
      </w:r>
      <w:r w:rsidR="00C81BC4" w:rsidRPr="000B4309">
        <w:rPr>
          <w:bCs/>
          <w:sz w:val="18"/>
          <w:szCs w:val="18"/>
          <w:lang w:val="en-US"/>
        </w:rPr>
        <w:t>IR spectrum of gas pyrolysis resin</w:t>
      </w:r>
    </w:p>
    <w:p w14:paraId="5302D9D3" w14:textId="1F5D9041" w:rsidR="00846087" w:rsidRDefault="006C1055" w:rsidP="00AD1CB3">
      <w:pPr>
        <w:shd w:val="clear" w:color="auto" w:fill="FFFFFF"/>
        <w:ind w:firstLine="284"/>
        <w:jc w:val="both"/>
        <w:rPr>
          <w:color w:val="212529"/>
          <w:lang w:val="en-US" w:eastAsia="ru-RU"/>
        </w:rPr>
      </w:pPr>
      <w:r w:rsidRPr="006C1055">
        <w:rPr>
          <w:color w:val="212529"/>
          <w:lang w:val="en-US" w:eastAsia="ru-RU"/>
        </w:rPr>
        <w:lastRenderedPageBreak/>
        <w:t>Characteristic absorption bands are also detected at 2860, 2930, and 2975 cm⁻¹, which correspond to the valence vibrations of C–H bonds in methylene and methyl groups. In addition, a strong absorption peak near 1710 cm⁻¹ indicates the presence of carbonyl (C=O) functional groups along the hydrocarbon chain. Asphaltic components exhibit a similar signal around 1730 cm⁻¹. Furthermore, the spectral region between 1500 and 1600 cm⁻¹ is associated with C=C stretching vibrations, characteristic of unsaturated structures such as aromatic or olefinic compounds.</w:t>
      </w:r>
      <w:r w:rsidR="000B4309" w:rsidRPr="000372F6">
        <w:rPr>
          <w:color w:val="212529"/>
          <w:lang w:val="en-US" w:eastAsia="ru-RU"/>
        </w:rPr>
        <w:t xml:space="preserve"> (Fig. 1).</w:t>
      </w:r>
    </w:p>
    <w:p w14:paraId="55EC0A8C" w14:textId="67A15299" w:rsidR="00A037AD" w:rsidRPr="00701CD3" w:rsidRDefault="006C1055" w:rsidP="00AD1CB3">
      <w:pPr>
        <w:shd w:val="clear" w:color="auto" w:fill="FFFFFF"/>
        <w:spacing w:after="120"/>
        <w:ind w:firstLine="284"/>
        <w:jc w:val="both"/>
        <w:rPr>
          <w:bCs/>
          <w:lang w:val="en-US"/>
        </w:rPr>
      </w:pPr>
      <w:r>
        <w:t xml:space="preserve">Proton magnetic resonance (PMR) spectroscopy further confirms the presence of aromatic structures, as evidenced by proton signals at chemical shifts of δ = 6.10 ppm, 7.12 ppm, and 8.10 ppm. These signals are typical for aromatic rings and their substituted derivatives, indicating a significant aromatic content in the material. </w:t>
      </w:r>
      <w:r w:rsidR="006E4095" w:rsidRPr="000372F6">
        <w:rPr>
          <w:bCs/>
          <w:lang w:val="en-US"/>
        </w:rPr>
        <w:t>Studies have shown that its softening and melting point is about 120-140 °C. It is known that the boiling and flash points of organic substances used in the production of elastomeric compositions should not be lower than 180 °C [8,</w:t>
      </w:r>
      <w:r w:rsidR="00077F81">
        <w:rPr>
          <w:bCs/>
          <w:lang w:val="en-US"/>
        </w:rPr>
        <w:t xml:space="preserve"> </w:t>
      </w:r>
      <w:r w:rsidR="006E4095" w:rsidRPr="000372F6">
        <w:rPr>
          <w:bCs/>
          <w:lang w:val="en-US"/>
        </w:rPr>
        <w:t>9]. Therefore, we thermally treated the tar product of gas pyrolysis resin formed in the propylene production process at 240 °C (Fig. 2).</w:t>
      </w:r>
    </w:p>
    <w:p w14:paraId="24920AAB" w14:textId="3E2B6392" w:rsidR="006C1055" w:rsidRDefault="00AD1CB3" w:rsidP="006E4095">
      <w:pPr>
        <w:shd w:val="clear" w:color="auto" w:fill="FFFFFF"/>
        <w:jc w:val="center"/>
        <w:rPr>
          <w:b/>
          <w:bCs/>
          <w:sz w:val="18"/>
          <w:szCs w:val="18"/>
          <w:lang w:val="en-US"/>
        </w:rPr>
      </w:pPr>
      <w:r w:rsidRPr="00CE01B6">
        <w:rPr>
          <w:b/>
          <w:bCs/>
          <w:noProof/>
          <w:sz w:val="24"/>
          <w:szCs w:val="24"/>
          <w:lang w:val="ru-RU" w:eastAsia="ru-RU"/>
        </w:rPr>
        <w:drawing>
          <wp:inline distT="0" distB="0" distL="0" distR="0" wp14:anchorId="2197B46E" wp14:editId="53F19203">
            <wp:extent cx="4794885" cy="2137410"/>
            <wp:effectExtent l="0" t="0" r="5715" b="0"/>
            <wp:docPr id="1661177188" name="Рисунок 1661177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794885" cy="2137410"/>
                    </a:xfrm>
                    <a:prstGeom prst="rect">
                      <a:avLst/>
                    </a:prstGeom>
                  </pic:spPr>
                </pic:pic>
              </a:graphicData>
            </a:graphic>
          </wp:inline>
        </w:drawing>
      </w:r>
    </w:p>
    <w:p w14:paraId="695BBE88" w14:textId="0E04E80B" w:rsidR="006E4095" w:rsidRDefault="00AD1CB3" w:rsidP="00AD1CB3">
      <w:pPr>
        <w:shd w:val="clear" w:color="auto" w:fill="FFFFFF"/>
        <w:spacing w:after="120"/>
        <w:jc w:val="center"/>
        <w:rPr>
          <w:sz w:val="18"/>
          <w:szCs w:val="18"/>
          <w:lang w:val="en-US"/>
        </w:rPr>
      </w:pPr>
      <w:r w:rsidRPr="006E4095">
        <w:rPr>
          <w:b/>
          <w:bCs/>
          <w:sz w:val="18"/>
          <w:szCs w:val="18"/>
          <w:lang w:val="en-US"/>
        </w:rPr>
        <w:t>FIG</w:t>
      </w:r>
      <w:r>
        <w:rPr>
          <w:b/>
          <w:bCs/>
          <w:sz w:val="18"/>
          <w:szCs w:val="18"/>
          <w:lang w:val="en-US"/>
        </w:rPr>
        <w:t>URE</w:t>
      </w:r>
      <w:r w:rsidR="006E4095" w:rsidRPr="006E4095">
        <w:rPr>
          <w:b/>
          <w:bCs/>
          <w:sz w:val="18"/>
          <w:szCs w:val="18"/>
          <w:lang w:val="en-US"/>
        </w:rPr>
        <w:t xml:space="preserve"> 2. </w:t>
      </w:r>
      <w:r w:rsidR="006E4095" w:rsidRPr="006E4095">
        <w:rPr>
          <w:sz w:val="18"/>
          <w:szCs w:val="18"/>
          <w:lang w:val="en-US"/>
        </w:rPr>
        <w:t>Influence of time on the thermal treatment process of the tar product of gas pyrolysis resin</w:t>
      </w:r>
    </w:p>
    <w:p w14:paraId="53C83FC7" w14:textId="77777777" w:rsidR="00E9714C" w:rsidRDefault="00E9714C" w:rsidP="00AD1CB3">
      <w:pPr>
        <w:suppressAutoHyphens/>
        <w:ind w:firstLine="284"/>
        <w:jc w:val="both"/>
        <w:rPr>
          <w:lang w:val="en-US"/>
        </w:rPr>
      </w:pPr>
      <w:r w:rsidRPr="000372F6">
        <w:rPr>
          <w:lang w:val="en-US"/>
        </w:rPr>
        <w:t>As a result, a black liquid substance was formed with an approximate molecular weight of 900-1100. Its quantity decreased by 45%, and the composition was studied as a result of the study of the obtained substance in IR spectroscopy (Fig. 3).</w:t>
      </w:r>
    </w:p>
    <w:p w14:paraId="1A5AC11D" w14:textId="02E63087" w:rsidR="00E9714C" w:rsidRDefault="00E9714C" w:rsidP="006E4095">
      <w:pPr>
        <w:shd w:val="clear" w:color="auto" w:fill="FFFFFF"/>
        <w:jc w:val="center"/>
        <w:rPr>
          <w:sz w:val="18"/>
          <w:szCs w:val="18"/>
          <w:lang w:val="en-US"/>
        </w:rPr>
      </w:pPr>
      <w:r w:rsidRPr="00E51054">
        <w:rPr>
          <w:rFonts w:eastAsiaTheme="minorHAnsi"/>
          <w:b/>
          <w:noProof/>
          <w:sz w:val="28"/>
          <w:szCs w:val="28"/>
          <w:lang w:val="ru-RU" w:eastAsia="ru-RU"/>
        </w:rPr>
        <w:drawing>
          <wp:inline distT="0" distB="0" distL="0" distR="0" wp14:anchorId="53E06EDA" wp14:editId="040801D7">
            <wp:extent cx="4824095" cy="2165815"/>
            <wp:effectExtent l="0" t="0" r="0" b="6350"/>
            <wp:docPr id="119496326" name="Рисунок 119496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24095" cy="2165815"/>
                    </a:xfrm>
                    <a:prstGeom prst="rect">
                      <a:avLst/>
                    </a:prstGeom>
                  </pic:spPr>
                </pic:pic>
              </a:graphicData>
            </a:graphic>
          </wp:inline>
        </w:drawing>
      </w:r>
    </w:p>
    <w:p w14:paraId="119E8E9E" w14:textId="31B62AAF" w:rsidR="00E9714C" w:rsidRPr="00E9714C" w:rsidRDefault="00AD1CB3" w:rsidP="00AD1CB3">
      <w:pPr>
        <w:pStyle w:val="af3"/>
        <w:tabs>
          <w:tab w:val="left" w:pos="5360"/>
          <w:tab w:val="left" w:pos="6453"/>
          <w:tab w:val="left" w:pos="8314"/>
        </w:tabs>
        <w:spacing w:after="120" w:line="240" w:lineRule="auto"/>
        <w:ind w:left="0"/>
        <w:jc w:val="center"/>
        <w:rPr>
          <w:rFonts w:eastAsiaTheme="minorHAnsi"/>
          <w:bCs/>
          <w:sz w:val="18"/>
          <w:szCs w:val="18"/>
          <w:lang w:val="en-US"/>
        </w:rPr>
      </w:pPr>
      <w:r w:rsidRPr="00E9714C">
        <w:rPr>
          <w:rFonts w:eastAsiaTheme="minorHAnsi"/>
          <w:b/>
          <w:sz w:val="18"/>
          <w:szCs w:val="18"/>
          <w:lang w:val="en-US"/>
        </w:rPr>
        <w:t>FIG</w:t>
      </w:r>
      <w:r>
        <w:rPr>
          <w:rFonts w:eastAsiaTheme="minorHAnsi"/>
          <w:b/>
          <w:sz w:val="18"/>
          <w:szCs w:val="18"/>
          <w:lang w:val="en-US"/>
        </w:rPr>
        <w:t>URE</w:t>
      </w:r>
      <w:r w:rsidRPr="00E9714C">
        <w:rPr>
          <w:rFonts w:eastAsiaTheme="minorHAnsi"/>
          <w:b/>
          <w:sz w:val="18"/>
          <w:szCs w:val="18"/>
          <w:lang w:val="en-US"/>
        </w:rPr>
        <w:t xml:space="preserve"> </w:t>
      </w:r>
      <w:r w:rsidR="00E9714C" w:rsidRPr="00E9714C">
        <w:rPr>
          <w:rFonts w:eastAsiaTheme="minorHAnsi"/>
          <w:b/>
          <w:sz w:val="18"/>
          <w:szCs w:val="18"/>
          <w:lang w:val="en-US"/>
        </w:rPr>
        <w:t>3.</w:t>
      </w:r>
      <w:r w:rsidR="00E9714C" w:rsidRPr="000372F6">
        <w:rPr>
          <w:rFonts w:eastAsiaTheme="minorHAnsi"/>
          <w:b/>
          <w:sz w:val="24"/>
          <w:szCs w:val="24"/>
          <w:lang w:val="en-US"/>
        </w:rPr>
        <w:t xml:space="preserve"> </w:t>
      </w:r>
      <w:r w:rsidR="00E9714C" w:rsidRPr="00E9714C">
        <w:rPr>
          <w:rFonts w:eastAsiaTheme="minorHAnsi"/>
          <w:bCs/>
          <w:sz w:val="18"/>
          <w:szCs w:val="18"/>
          <w:lang w:val="en-US"/>
        </w:rPr>
        <w:t>Comparison of the IR spectrum of plasticizers and gas pyrolysis resin residue</w:t>
      </w:r>
    </w:p>
    <w:p w14:paraId="640F5BD9" w14:textId="45701CD4" w:rsidR="00E9714C" w:rsidRDefault="00865ABD" w:rsidP="00AD1CB3">
      <w:pPr>
        <w:ind w:firstLine="284"/>
        <w:jc w:val="both"/>
        <w:rPr>
          <w:spacing w:val="-2"/>
          <w:lang w:val="en-US"/>
        </w:rPr>
      </w:pPr>
      <w:r w:rsidRPr="00865ABD">
        <w:rPr>
          <w:rFonts w:eastAsiaTheme="minorHAnsi"/>
          <w:bCs/>
          <w:color w:val="auto"/>
          <w:lang w:val="en-US" w:eastAsia="en-US"/>
        </w:rPr>
        <w:t>As illustrated in the figure, the molecular structure of the bottom residue from gas pyrolysis resin (BRGPR) exhibits similarities to that of the industrial plasticizer dibutyl phthalate (DBP), indicating its potential suitability for use as a plasticizin</w:t>
      </w:r>
      <w:r>
        <w:rPr>
          <w:rFonts w:eastAsiaTheme="minorHAnsi"/>
          <w:bCs/>
          <w:color w:val="auto"/>
          <w:lang w:val="en-US" w:eastAsia="en-US"/>
        </w:rPr>
        <w:t xml:space="preserve">g agent in elastomeric systems. </w:t>
      </w:r>
      <w:r w:rsidRPr="00865ABD">
        <w:rPr>
          <w:rFonts w:eastAsiaTheme="minorHAnsi"/>
          <w:bCs/>
          <w:color w:val="auto"/>
          <w:lang w:val="en-US" w:eastAsia="en-US"/>
        </w:rPr>
        <w:t>One of the key rheological characteristics of rubber compounds is the Mooney viscosity index, which reflects the material's flow resistance under processing conditions. This parameter is crucial for understanding how the compound behaves during mixing and shaping, as it quantifies the mechanical energy required to induce flow at specific stages of manufacturing. Figure 4 presents the relationship between plasticizer dosage and Mooney vi</w:t>
      </w:r>
      <w:r>
        <w:rPr>
          <w:rFonts w:eastAsiaTheme="minorHAnsi"/>
          <w:bCs/>
          <w:color w:val="auto"/>
          <w:lang w:val="en-US" w:eastAsia="en-US"/>
        </w:rPr>
        <w:t xml:space="preserve">scosity in rubber formulations. </w:t>
      </w:r>
      <w:r w:rsidRPr="00865ABD">
        <w:rPr>
          <w:rFonts w:eastAsiaTheme="minorHAnsi"/>
          <w:bCs/>
          <w:color w:val="auto"/>
          <w:lang w:val="en-US" w:eastAsia="en-US"/>
        </w:rPr>
        <w:t xml:space="preserve">Experimental evaluation of Mooney viscosity in compounds based on SKI-3 and SKEPT revealed that the incorporation of BRGPR significantly reduces viscosity in comparison with formulations lacking plasticizers. For instance, unmodified SKI-3 and SKEPT compounds exhibited Mooney viscosities of 15.7 and 75.0 arbitrary units, respectively. Upon the addition of 2.5 </w:t>
      </w:r>
      <w:proofErr w:type="spellStart"/>
      <w:r w:rsidRPr="00865ABD">
        <w:rPr>
          <w:rFonts w:eastAsiaTheme="minorHAnsi"/>
          <w:bCs/>
          <w:color w:val="auto"/>
          <w:lang w:val="en-US" w:eastAsia="en-US"/>
        </w:rPr>
        <w:t>phr</w:t>
      </w:r>
      <w:proofErr w:type="spellEnd"/>
      <w:r w:rsidRPr="00865ABD">
        <w:rPr>
          <w:rFonts w:eastAsiaTheme="minorHAnsi"/>
          <w:bCs/>
          <w:color w:val="auto"/>
          <w:lang w:val="en-US" w:eastAsia="en-US"/>
        </w:rPr>
        <w:t xml:space="preserve"> (parts per hundred rubber) of BRGPR, these values dropped to 7.6 and 61.1 units. Similarly, in formulations based on SKMS-30ARKM-15, the viscosity reduction observed with BRGPR was more substantial than that a</w:t>
      </w:r>
      <w:r>
        <w:rPr>
          <w:rFonts w:eastAsiaTheme="minorHAnsi"/>
          <w:bCs/>
          <w:color w:val="auto"/>
          <w:lang w:val="en-US" w:eastAsia="en-US"/>
        </w:rPr>
        <w:t xml:space="preserve">chieved using conventional DBP. </w:t>
      </w:r>
      <w:r w:rsidRPr="00865ABD">
        <w:rPr>
          <w:rFonts w:eastAsiaTheme="minorHAnsi"/>
          <w:bCs/>
          <w:color w:val="auto"/>
          <w:lang w:val="en-US" w:eastAsia="en-US"/>
        </w:rPr>
        <w:t xml:space="preserve">The incorporation of plasticizers promotes more homogeneous distribution of ingredients within the rubber matrix. This also mitigates excessive heat buildup during mixing, which helps to prevent premature vulcanization and reduces the overall energy demand for processing. However, Mooney viscosity alone does not fully capture the complexities of elastomer processability. Therefore, additional </w:t>
      </w:r>
      <w:r w:rsidRPr="00865ABD">
        <w:rPr>
          <w:rFonts w:eastAsiaTheme="minorHAnsi"/>
          <w:bCs/>
          <w:color w:val="auto"/>
          <w:lang w:val="en-US" w:eastAsia="en-US"/>
        </w:rPr>
        <w:lastRenderedPageBreak/>
        <w:t>parameters, such as stress relaxation behavior, are employed to characterize the viscoelasti</w:t>
      </w:r>
      <w:r>
        <w:rPr>
          <w:rFonts w:eastAsiaTheme="minorHAnsi"/>
          <w:bCs/>
          <w:color w:val="auto"/>
          <w:lang w:val="en-US" w:eastAsia="en-US"/>
        </w:rPr>
        <w:t xml:space="preserve">c response of rubber compounds. </w:t>
      </w:r>
      <w:r w:rsidRPr="00865ABD">
        <w:rPr>
          <w:rFonts w:eastAsiaTheme="minorHAnsi"/>
          <w:bCs/>
          <w:color w:val="auto"/>
          <w:lang w:val="en-US" w:eastAsia="en-US"/>
        </w:rPr>
        <w:t>To assess these properties, stress relaxation measurements were performed using a viscometer that recorded the residual torque over time following the cessation of rotor motion. These data were used to calculate the relaxation coefficient (Kr), a critical metric in evaluating the ease of processing and structural relaxation behavior in elastomeric systems</w:t>
      </w:r>
      <w:r w:rsidR="00AD1CB3">
        <w:rPr>
          <w:rFonts w:eastAsiaTheme="minorHAnsi"/>
          <w:bCs/>
          <w:color w:val="auto"/>
          <w:lang w:val="en-US" w:eastAsia="en-US"/>
        </w:rPr>
        <w:t xml:space="preserve"> </w:t>
      </w:r>
      <w:r w:rsidR="00E9714C" w:rsidRPr="000372F6">
        <w:rPr>
          <w:spacing w:val="-2"/>
          <w:lang w:val="en-US"/>
        </w:rPr>
        <w:t>(</w:t>
      </w:r>
      <w:r w:rsidR="00AD1CB3">
        <w:rPr>
          <w:spacing w:val="-2"/>
          <w:lang w:val="en-US"/>
        </w:rPr>
        <w:t>t</w:t>
      </w:r>
      <w:r w:rsidR="00E9714C" w:rsidRPr="000372F6">
        <w:rPr>
          <w:spacing w:val="-2"/>
          <w:lang w:val="en-US"/>
        </w:rPr>
        <w:t>able 2)</w:t>
      </w:r>
      <w:r w:rsidR="001B7B1F">
        <w:rPr>
          <w:spacing w:val="-2"/>
          <w:lang w:val="en-US"/>
        </w:rPr>
        <w:t xml:space="preserve"> [13, 14]</w:t>
      </w:r>
      <w:r w:rsidR="00E9714C" w:rsidRPr="000372F6">
        <w:rPr>
          <w:spacing w:val="-2"/>
          <w:lang w:val="en-US"/>
        </w:rPr>
        <w:t>.</w:t>
      </w:r>
    </w:p>
    <w:p w14:paraId="614C215C" w14:textId="32EAB77C" w:rsidR="006E4095" w:rsidRPr="00D9269C" w:rsidRDefault="00AD1CB3" w:rsidP="00AD1CB3">
      <w:pPr>
        <w:shd w:val="clear" w:color="auto" w:fill="FFFFFF"/>
        <w:spacing w:before="120"/>
        <w:jc w:val="center"/>
        <w:rPr>
          <w:b/>
          <w:bCs/>
          <w:sz w:val="18"/>
          <w:szCs w:val="18"/>
          <w:lang w:val="en-US"/>
        </w:rPr>
      </w:pPr>
      <w:r w:rsidRPr="00D9269C">
        <w:rPr>
          <w:b/>
          <w:bCs/>
          <w:sz w:val="18"/>
          <w:szCs w:val="18"/>
          <w:lang w:val="en-US"/>
        </w:rPr>
        <w:t>TABLE</w:t>
      </w:r>
      <w:r w:rsidR="00D9269C" w:rsidRPr="00D9269C">
        <w:rPr>
          <w:b/>
          <w:bCs/>
          <w:sz w:val="18"/>
          <w:szCs w:val="18"/>
          <w:lang w:val="en-US"/>
        </w:rPr>
        <w:t xml:space="preserve"> 2.</w:t>
      </w:r>
      <w:r w:rsidR="00D9269C">
        <w:rPr>
          <w:b/>
          <w:bCs/>
          <w:sz w:val="18"/>
          <w:szCs w:val="18"/>
          <w:lang w:val="en-US"/>
        </w:rPr>
        <w:t xml:space="preserve"> </w:t>
      </w:r>
      <w:r w:rsidR="00D9269C" w:rsidRPr="00D9269C">
        <w:rPr>
          <w:sz w:val="18"/>
          <w:szCs w:val="18"/>
          <w:lang w:val="en-US"/>
        </w:rPr>
        <w:t>Stress relaxation indicators of the studied rubber compounds</w:t>
      </w:r>
    </w:p>
    <w:tbl>
      <w:tblPr>
        <w:tblStyle w:val="TableNormal"/>
        <w:tblW w:w="4924" w:type="pct"/>
        <w:tblInd w:w="142" w:type="dxa"/>
        <w:tblLook w:val="01E0" w:firstRow="1" w:lastRow="1" w:firstColumn="1" w:lastColumn="1" w:noHBand="0" w:noVBand="0"/>
      </w:tblPr>
      <w:tblGrid>
        <w:gridCol w:w="1900"/>
        <w:gridCol w:w="1874"/>
        <w:gridCol w:w="961"/>
        <w:gridCol w:w="949"/>
        <w:gridCol w:w="944"/>
        <w:gridCol w:w="968"/>
        <w:gridCol w:w="947"/>
        <w:gridCol w:w="949"/>
      </w:tblGrid>
      <w:tr w:rsidR="00D9269C" w:rsidRPr="00AC3434" w14:paraId="2E679A24" w14:textId="77777777" w:rsidTr="00AD1CB3">
        <w:trPr>
          <w:trHeight w:val="691"/>
        </w:trPr>
        <w:tc>
          <w:tcPr>
            <w:tcW w:w="1001" w:type="pct"/>
            <w:vMerge w:val="restart"/>
            <w:tcBorders>
              <w:top w:val="single" w:sz="4" w:space="0" w:color="auto"/>
              <w:bottom w:val="single" w:sz="4" w:space="0" w:color="auto"/>
            </w:tcBorders>
            <w:vAlign w:val="center"/>
          </w:tcPr>
          <w:p w14:paraId="08E629CB" w14:textId="77777777" w:rsidR="00D9269C" w:rsidRPr="00D9269C" w:rsidRDefault="00D9269C" w:rsidP="00D9269C">
            <w:pPr>
              <w:pStyle w:val="TableParagraph"/>
              <w:spacing w:before="0" w:line="240" w:lineRule="auto"/>
              <w:rPr>
                <w:rFonts w:ascii="Times New Roman" w:hAnsi="Times New Roman" w:cs="Times New Roman"/>
                <w:sz w:val="18"/>
                <w:szCs w:val="18"/>
              </w:rPr>
            </w:pPr>
            <w:proofErr w:type="spellStart"/>
            <w:r w:rsidRPr="00D9269C">
              <w:rPr>
                <w:rFonts w:ascii="Times New Roman" w:hAnsi="Times New Roman" w:cs="Times New Roman"/>
                <w:spacing w:val="-2"/>
                <w:sz w:val="18"/>
                <w:szCs w:val="18"/>
              </w:rPr>
              <w:t>Ingredient</w:t>
            </w:r>
            <w:proofErr w:type="spellEnd"/>
            <w:r w:rsidRPr="00D9269C">
              <w:rPr>
                <w:rFonts w:ascii="Times New Roman" w:hAnsi="Times New Roman" w:cs="Times New Roman"/>
                <w:spacing w:val="-2"/>
                <w:sz w:val="18"/>
                <w:szCs w:val="18"/>
              </w:rPr>
              <w:t xml:space="preserve"> </w:t>
            </w:r>
            <w:proofErr w:type="spellStart"/>
            <w:r w:rsidRPr="00D9269C">
              <w:rPr>
                <w:rFonts w:ascii="Times New Roman" w:hAnsi="Times New Roman" w:cs="Times New Roman"/>
                <w:spacing w:val="-2"/>
                <w:sz w:val="18"/>
                <w:szCs w:val="18"/>
              </w:rPr>
              <w:t>Names</w:t>
            </w:r>
            <w:proofErr w:type="spellEnd"/>
          </w:p>
        </w:tc>
        <w:tc>
          <w:tcPr>
            <w:tcW w:w="987" w:type="pct"/>
            <w:vMerge w:val="restart"/>
            <w:tcBorders>
              <w:top w:val="single" w:sz="4" w:space="0" w:color="auto"/>
              <w:bottom w:val="single" w:sz="4" w:space="0" w:color="auto"/>
            </w:tcBorders>
            <w:vAlign w:val="center"/>
          </w:tcPr>
          <w:p w14:paraId="00DE1503" w14:textId="77777777" w:rsidR="00D9269C" w:rsidRPr="00D9269C" w:rsidRDefault="00D9269C" w:rsidP="00D9269C">
            <w:pPr>
              <w:pStyle w:val="TableParagraph"/>
              <w:spacing w:before="0" w:line="240" w:lineRule="auto"/>
              <w:ind w:left="22" w:right="8"/>
              <w:rPr>
                <w:rFonts w:ascii="Times New Roman" w:hAnsi="Times New Roman" w:cs="Times New Roman"/>
                <w:sz w:val="18"/>
                <w:szCs w:val="18"/>
                <w:lang w:val="en-US"/>
              </w:rPr>
            </w:pPr>
            <w:r w:rsidRPr="00D9269C">
              <w:rPr>
                <w:rFonts w:ascii="Times New Roman" w:hAnsi="Times New Roman" w:cs="Times New Roman"/>
                <w:spacing w:val="-6"/>
                <w:sz w:val="18"/>
                <w:szCs w:val="18"/>
                <w:lang w:val="en-US"/>
              </w:rPr>
              <w:t>Amount of plasticizer added, parts by weight</w:t>
            </w:r>
          </w:p>
        </w:tc>
        <w:tc>
          <w:tcPr>
            <w:tcW w:w="3012" w:type="pct"/>
            <w:gridSpan w:val="6"/>
            <w:tcBorders>
              <w:top w:val="single" w:sz="4" w:space="0" w:color="auto"/>
              <w:bottom w:val="single" w:sz="4" w:space="0" w:color="auto"/>
            </w:tcBorders>
            <w:vAlign w:val="center"/>
          </w:tcPr>
          <w:p w14:paraId="62D8B368" w14:textId="77777777" w:rsidR="00D9269C" w:rsidRPr="00D9269C" w:rsidRDefault="00D9269C" w:rsidP="00D9269C">
            <w:pPr>
              <w:jc w:val="center"/>
              <w:rPr>
                <w:rFonts w:ascii="Times New Roman" w:eastAsia="Times New Roman" w:hAnsi="Times New Roman" w:cs="Times New Roman"/>
                <w:spacing w:val="-6"/>
                <w:sz w:val="18"/>
                <w:szCs w:val="18"/>
              </w:rPr>
            </w:pPr>
            <w:r w:rsidRPr="00D9269C">
              <w:rPr>
                <w:rFonts w:ascii="Times New Roman" w:eastAsia="Times New Roman" w:hAnsi="Times New Roman" w:cs="Times New Roman"/>
                <w:spacing w:val="-6"/>
                <w:sz w:val="18"/>
                <w:szCs w:val="18"/>
              </w:rPr>
              <w:t>Rubber compound based on / relaxation indicators of rubber compounds</w:t>
            </w:r>
          </w:p>
        </w:tc>
      </w:tr>
      <w:tr w:rsidR="00D9269C" w:rsidRPr="00CA740D" w14:paraId="30B9FDB6" w14:textId="77777777" w:rsidTr="00AD1CB3">
        <w:trPr>
          <w:trHeight w:val="230"/>
        </w:trPr>
        <w:tc>
          <w:tcPr>
            <w:tcW w:w="1001" w:type="pct"/>
            <w:vMerge/>
            <w:tcBorders>
              <w:bottom w:val="single" w:sz="4" w:space="0" w:color="auto"/>
            </w:tcBorders>
            <w:vAlign w:val="center"/>
          </w:tcPr>
          <w:p w14:paraId="57911199" w14:textId="77777777" w:rsidR="00D9269C" w:rsidRPr="00D9269C" w:rsidRDefault="00D9269C" w:rsidP="00D9269C">
            <w:pPr>
              <w:jc w:val="center"/>
              <w:rPr>
                <w:rFonts w:ascii="Times New Roman" w:hAnsi="Times New Roman" w:cs="Times New Roman"/>
                <w:sz w:val="18"/>
                <w:szCs w:val="18"/>
              </w:rPr>
            </w:pPr>
          </w:p>
        </w:tc>
        <w:tc>
          <w:tcPr>
            <w:tcW w:w="987" w:type="pct"/>
            <w:vMerge/>
            <w:tcBorders>
              <w:bottom w:val="single" w:sz="4" w:space="0" w:color="auto"/>
            </w:tcBorders>
            <w:vAlign w:val="center"/>
          </w:tcPr>
          <w:p w14:paraId="735CEF19" w14:textId="77777777" w:rsidR="00D9269C" w:rsidRPr="00D9269C" w:rsidRDefault="00D9269C" w:rsidP="00D9269C">
            <w:pPr>
              <w:jc w:val="center"/>
              <w:rPr>
                <w:rFonts w:ascii="Times New Roman" w:hAnsi="Times New Roman" w:cs="Times New Roman"/>
                <w:sz w:val="18"/>
                <w:szCs w:val="18"/>
              </w:rPr>
            </w:pPr>
          </w:p>
        </w:tc>
        <w:tc>
          <w:tcPr>
            <w:tcW w:w="1006" w:type="pct"/>
            <w:gridSpan w:val="2"/>
            <w:tcBorders>
              <w:top w:val="single" w:sz="4" w:space="0" w:color="auto"/>
              <w:bottom w:val="single" w:sz="4" w:space="0" w:color="auto"/>
            </w:tcBorders>
            <w:vAlign w:val="center"/>
          </w:tcPr>
          <w:p w14:paraId="4F4D8E16" w14:textId="77777777" w:rsidR="00D9269C" w:rsidRPr="00D9269C" w:rsidRDefault="00D9269C" w:rsidP="00D9269C">
            <w:pPr>
              <w:pStyle w:val="TableParagraph"/>
              <w:spacing w:before="0" w:line="240" w:lineRule="auto"/>
              <w:ind w:left="21"/>
              <w:rPr>
                <w:rFonts w:ascii="Times New Roman" w:hAnsi="Times New Roman" w:cs="Times New Roman"/>
                <w:sz w:val="18"/>
                <w:szCs w:val="18"/>
              </w:rPr>
            </w:pPr>
            <w:r w:rsidRPr="00D9269C">
              <w:rPr>
                <w:rFonts w:ascii="Times New Roman" w:hAnsi="Times New Roman" w:cs="Times New Roman"/>
                <w:spacing w:val="-2"/>
                <w:sz w:val="18"/>
                <w:szCs w:val="18"/>
              </w:rPr>
              <w:t>SKI-3</w:t>
            </w:r>
          </w:p>
        </w:tc>
        <w:tc>
          <w:tcPr>
            <w:tcW w:w="1007" w:type="pct"/>
            <w:gridSpan w:val="2"/>
            <w:tcBorders>
              <w:top w:val="single" w:sz="4" w:space="0" w:color="auto"/>
              <w:bottom w:val="single" w:sz="4" w:space="0" w:color="auto"/>
            </w:tcBorders>
            <w:vAlign w:val="center"/>
          </w:tcPr>
          <w:p w14:paraId="6D50D382" w14:textId="77777777" w:rsidR="00D9269C" w:rsidRPr="00D9269C" w:rsidRDefault="00D9269C" w:rsidP="00D9269C">
            <w:pPr>
              <w:pStyle w:val="TableParagraph"/>
              <w:spacing w:before="0" w:line="240" w:lineRule="auto"/>
              <w:ind w:left="137"/>
              <w:rPr>
                <w:rFonts w:ascii="Times New Roman" w:hAnsi="Times New Roman" w:cs="Times New Roman"/>
                <w:sz w:val="18"/>
                <w:szCs w:val="18"/>
              </w:rPr>
            </w:pPr>
            <w:r w:rsidRPr="00D9269C">
              <w:rPr>
                <w:rFonts w:ascii="Times New Roman" w:hAnsi="Times New Roman" w:cs="Times New Roman"/>
                <w:spacing w:val="-2"/>
                <w:sz w:val="18"/>
                <w:szCs w:val="18"/>
              </w:rPr>
              <w:t>SKMS-30ARKM-15</w:t>
            </w:r>
          </w:p>
        </w:tc>
        <w:tc>
          <w:tcPr>
            <w:tcW w:w="999" w:type="pct"/>
            <w:gridSpan w:val="2"/>
            <w:tcBorders>
              <w:top w:val="single" w:sz="4" w:space="0" w:color="auto"/>
              <w:bottom w:val="single" w:sz="4" w:space="0" w:color="auto"/>
            </w:tcBorders>
            <w:vAlign w:val="center"/>
          </w:tcPr>
          <w:p w14:paraId="50CF032F" w14:textId="77777777" w:rsidR="00D9269C" w:rsidRPr="00D9269C" w:rsidRDefault="00D9269C" w:rsidP="00D9269C">
            <w:pPr>
              <w:pStyle w:val="TableParagraph"/>
              <w:spacing w:before="0" w:line="240" w:lineRule="auto"/>
              <w:ind w:left="642"/>
              <w:rPr>
                <w:rFonts w:ascii="Times New Roman" w:hAnsi="Times New Roman" w:cs="Times New Roman"/>
                <w:sz w:val="18"/>
                <w:szCs w:val="18"/>
              </w:rPr>
            </w:pPr>
            <w:r w:rsidRPr="00D9269C">
              <w:rPr>
                <w:rFonts w:ascii="Times New Roman" w:hAnsi="Times New Roman" w:cs="Times New Roman"/>
                <w:spacing w:val="-2"/>
                <w:sz w:val="18"/>
                <w:szCs w:val="18"/>
              </w:rPr>
              <w:t>SKEPT</w:t>
            </w:r>
          </w:p>
        </w:tc>
      </w:tr>
      <w:tr w:rsidR="00D9269C" w:rsidRPr="00CA740D" w14:paraId="02DAFC5E" w14:textId="77777777" w:rsidTr="00AD1CB3">
        <w:trPr>
          <w:trHeight w:val="230"/>
        </w:trPr>
        <w:tc>
          <w:tcPr>
            <w:tcW w:w="1001" w:type="pct"/>
            <w:vMerge/>
            <w:tcBorders>
              <w:bottom w:val="single" w:sz="4" w:space="0" w:color="auto"/>
            </w:tcBorders>
            <w:vAlign w:val="center"/>
          </w:tcPr>
          <w:p w14:paraId="6A470E93" w14:textId="77777777" w:rsidR="00D9269C" w:rsidRPr="00D9269C" w:rsidRDefault="00D9269C" w:rsidP="00D9269C">
            <w:pPr>
              <w:jc w:val="center"/>
              <w:rPr>
                <w:rFonts w:ascii="Times New Roman" w:hAnsi="Times New Roman" w:cs="Times New Roman"/>
                <w:sz w:val="18"/>
                <w:szCs w:val="18"/>
              </w:rPr>
            </w:pPr>
          </w:p>
        </w:tc>
        <w:tc>
          <w:tcPr>
            <w:tcW w:w="987" w:type="pct"/>
            <w:vMerge/>
            <w:tcBorders>
              <w:bottom w:val="single" w:sz="4" w:space="0" w:color="auto"/>
            </w:tcBorders>
            <w:vAlign w:val="center"/>
          </w:tcPr>
          <w:p w14:paraId="430706FA" w14:textId="77777777" w:rsidR="00D9269C" w:rsidRPr="00D9269C" w:rsidRDefault="00D9269C" w:rsidP="00D9269C">
            <w:pPr>
              <w:jc w:val="center"/>
              <w:rPr>
                <w:rFonts w:ascii="Times New Roman" w:hAnsi="Times New Roman" w:cs="Times New Roman"/>
                <w:sz w:val="18"/>
                <w:szCs w:val="18"/>
              </w:rPr>
            </w:pPr>
          </w:p>
        </w:tc>
        <w:tc>
          <w:tcPr>
            <w:tcW w:w="506" w:type="pct"/>
            <w:tcBorders>
              <w:top w:val="single" w:sz="4" w:space="0" w:color="auto"/>
              <w:bottom w:val="single" w:sz="4" w:space="0" w:color="auto"/>
            </w:tcBorders>
            <w:vAlign w:val="center"/>
          </w:tcPr>
          <w:p w14:paraId="7FA37C09"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proofErr w:type="spellStart"/>
            <w:r w:rsidRPr="00D9269C">
              <w:rPr>
                <w:rFonts w:ascii="Times New Roman" w:hAnsi="Times New Roman" w:cs="Times New Roman"/>
                <w:spacing w:val="-4"/>
                <w:sz w:val="18"/>
                <w:szCs w:val="18"/>
              </w:rPr>
              <w:t>tg</w:t>
            </w:r>
            <w:proofErr w:type="spellEnd"/>
            <w:r w:rsidRPr="00D9269C">
              <w:rPr>
                <w:rFonts w:ascii="Times New Roman" w:hAnsi="Times New Roman" w:cs="Times New Roman"/>
                <w:spacing w:val="-4"/>
                <w:sz w:val="18"/>
                <w:szCs w:val="18"/>
              </w:rPr>
              <w:t>α´</w:t>
            </w:r>
          </w:p>
        </w:tc>
        <w:tc>
          <w:tcPr>
            <w:tcW w:w="500" w:type="pct"/>
            <w:tcBorders>
              <w:top w:val="single" w:sz="4" w:space="0" w:color="auto"/>
              <w:bottom w:val="single" w:sz="4" w:space="0" w:color="auto"/>
            </w:tcBorders>
            <w:vAlign w:val="center"/>
          </w:tcPr>
          <w:p w14:paraId="3DDA4F98" w14:textId="77777777" w:rsidR="00D9269C" w:rsidRPr="00D9269C" w:rsidRDefault="00D9269C" w:rsidP="00D9269C">
            <w:pPr>
              <w:pStyle w:val="TableParagraph"/>
              <w:spacing w:before="0" w:line="240" w:lineRule="auto"/>
              <w:rPr>
                <w:rFonts w:ascii="Times New Roman" w:hAnsi="Times New Roman" w:cs="Times New Roman"/>
                <w:sz w:val="18"/>
                <w:szCs w:val="18"/>
              </w:rPr>
            </w:pPr>
            <w:proofErr w:type="spellStart"/>
            <w:r w:rsidRPr="00D9269C">
              <w:rPr>
                <w:rFonts w:ascii="Times New Roman" w:hAnsi="Times New Roman" w:cs="Times New Roman"/>
                <w:i/>
                <w:sz w:val="18"/>
                <w:szCs w:val="18"/>
              </w:rPr>
              <w:t>K</w:t>
            </w:r>
            <w:r w:rsidRPr="00D9269C">
              <w:rPr>
                <w:rFonts w:ascii="Times New Roman" w:hAnsi="Times New Roman" w:cs="Times New Roman"/>
                <w:sz w:val="18"/>
                <w:szCs w:val="18"/>
                <w:vertAlign w:val="subscript"/>
              </w:rPr>
              <w:t>р</w:t>
            </w:r>
            <w:proofErr w:type="spellEnd"/>
            <w:r w:rsidRPr="00D9269C">
              <w:rPr>
                <w:rFonts w:ascii="Times New Roman" w:hAnsi="Times New Roman" w:cs="Times New Roman"/>
                <w:sz w:val="18"/>
                <w:szCs w:val="18"/>
              </w:rPr>
              <w:t>,</w:t>
            </w:r>
            <w:r w:rsidRPr="00D9269C">
              <w:rPr>
                <w:rFonts w:ascii="Times New Roman" w:hAnsi="Times New Roman" w:cs="Times New Roman"/>
                <w:spacing w:val="-4"/>
                <w:sz w:val="18"/>
                <w:szCs w:val="18"/>
              </w:rPr>
              <w:t xml:space="preserve"> </w:t>
            </w:r>
            <w:r w:rsidRPr="00D9269C">
              <w:rPr>
                <w:rFonts w:ascii="Times New Roman" w:hAnsi="Times New Roman" w:cs="Times New Roman"/>
                <w:spacing w:val="-10"/>
                <w:sz w:val="18"/>
                <w:szCs w:val="18"/>
              </w:rPr>
              <w:t>%</w:t>
            </w:r>
          </w:p>
        </w:tc>
        <w:tc>
          <w:tcPr>
            <w:tcW w:w="497" w:type="pct"/>
            <w:tcBorders>
              <w:top w:val="single" w:sz="4" w:space="0" w:color="auto"/>
              <w:bottom w:val="single" w:sz="4" w:space="0" w:color="auto"/>
            </w:tcBorders>
            <w:vAlign w:val="center"/>
          </w:tcPr>
          <w:p w14:paraId="7B2C4A77" w14:textId="77777777" w:rsidR="00D9269C" w:rsidRPr="00D9269C" w:rsidRDefault="00D9269C" w:rsidP="00D9269C">
            <w:pPr>
              <w:pStyle w:val="TableParagraph"/>
              <w:spacing w:before="0" w:line="240" w:lineRule="auto"/>
              <w:ind w:left="97" w:right="76"/>
              <w:rPr>
                <w:rFonts w:ascii="Times New Roman" w:hAnsi="Times New Roman" w:cs="Times New Roman"/>
                <w:sz w:val="18"/>
                <w:szCs w:val="18"/>
              </w:rPr>
            </w:pPr>
            <w:proofErr w:type="spellStart"/>
            <w:r w:rsidRPr="00D9269C">
              <w:rPr>
                <w:rFonts w:ascii="Times New Roman" w:hAnsi="Times New Roman" w:cs="Times New Roman"/>
                <w:spacing w:val="-4"/>
                <w:sz w:val="18"/>
                <w:szCs w:val="18"/>
              </w:rPr>
              <w:t>tg</w:t>
            </w:r>
            <w:proofErr w:type="spellEnd"/>
            <w:r w:rsidRPr="00D9269C">
              <w:rPr>
                <w:rFonts w:ascii="Times New Roman" w:hAnsi="Times New Roman" w:cs="Times New Roman"/>
                <w:spacing w:val="-4"/>
                <w:sz w:val="18"/>
                <w:szCs w:val="18"/>
              </w:rPr>
              <w:t>α´</w:t>
            </w:r>
          </w:p>
        </w:tc>
        <w:tc>
          <w:tcPr>
            <w:tcW w:w="510" w:type="pct"/>
            <w:tcBorders>
              <w:top w:val="single" w:sz="4" w:space="0" w:color="auto"/>
              <w:bottom w:val="single" w:sz="4" w:space="0" w:color="auto"/>
            </w:tcBorders>
            <w:vAlign w:val="center"/>
          </w:tcPr>
          <w:p w14:paraId="6D31A5AC" w14:textId="77777777" w:rsidR="00D9269C" w:rsidRPr="00D9269C" w:rsidRDefault="00D9269C" w:rsidP="00D9269C">
            <w:pPr>
              <w:pStyle w:val="TableParagraph"/>
              <w:spacing w:before="0" w:line="240" w:lineRule="auto"/>
              <w:ind w:left="2" w:right="2"/>
              <w:rPr>
                <w:rFonts w:ascii="Times New Roman" w:hAnsi="Times New Roman" w:cs="Times New Roman"/>
                <w:sz w:val="18"/>
                <w:szCs w:val="18"/>
              </w:rPr>
            </w:pPr>
            <w:proofErr w:type="spellStart"/>
            <w:r w:rsidRPr="00D9269C">
              <w:rPr>
                <w:rFonts w:ascii="Times New Roman" w:hAnsi="Times New Roman" w:cs="Times New Roman"/>
                <w:i/>
                <w:sz w:val="18"/>
                <w:szCs w:val="18"/>
              </w:rPr>
              <w:t>K</w:t>
            </w:r>
            <w:r w:rsidRPr="00D9269C">
              <w:rPr>
                <w:rFonts w:ascii="Times New Roman" w:hAnsi="Times New Roman" w:cs="Times New Roman"/>
                <w:sz w:val="18"/>
                <w:szCs w:val="18"/>
                <w:vertAlign w:val="subscript"/>
              </w:rPr>
              <w:t>р</w:t>
            </w:r>
            <w:proofErr w:type="spellEnd"/>
            <w:r w:rsidRPr="00D9269C">
              <w:rPr>
                <w:rFonts w:ascii="Times New Roman" w:hAnsi="Times New Roman" w:cs="Times New Roman"/>
                <w:sz w:val="18"/>
                <w:szCs w:val="18"/>
              </w:rPr>
              <w:t>,</w:t>
            </w:r>
            <w:r w:rsidRPr="00D9269C">
              <w:rPr>
                <w:rFonts w:ascii="Times New Roman" w:hAnsi="Times New Roman" w:cs="Times New Roman"/>
                <w:spacing w:val="-2"/>
                <w:sz w:val="18"/>
                <w:szCs w:val="18"/>
              </w:rPr>
              <w:t xml:space="preserve"> </w:t>
            </w:r>
            <w:r w:rsidRPr="00D9269C">
              <w:rPr>
                <w:rFonts w:ascii="Times New Roman" w:hAnsi="Times New Roman" w:cs="Times New Roman"/>
                <w:spacing w:val="-10"/>
                <w:sz w:val="18"/>
                <w:szCs w:val="18"/>
              </w:rPr>
              <w:t>%</w:t>
            </w:r>
          </w:p>
        </w:tc>
        <w:tc>
          <w:tcPr>
            <w:tcW w:w="499" w:type="pct"/>
            <w:tcBorders>
              <w:top w:val="single" w:sz="4" w:space="0" w:color="auto"/>
              <w:bottom w:val="single" w:sz="4" w:space="0" w:color="auto"/>
            </w:tcBorders>
            <w:vAlign w:val="center"/>
          </w:tcPr>
          <w:p w14:paraId="24ADADCC" w14:textId="77777777" w:rsidR="00D9269C" w:rsidRPr="00D9269C" w:rsidRDefault="00D9269C" w:rsidP="00D9269C">
            <w:pPr>
              <w:pStyle w:val="TableParagraph"/>
              <w:spacing w:before="0" w:line="240" w:lineRule="auto"/>
              <w:ind w:left="13"/>
              <w:rPr>
                <w:rFonts w:ascii="Times New Roman" w:hAnsi="Times New Roman" w:cs="Times New Roman"/>
                <w:sz w:val="18"/>
                <w:szCs w:val="18"/>
              </w:rPr>
            </w:pPr>
            <w:proofErr w:type="spellStart"/>
            <w:r w:rsidRPr="00D9269C">
              <w:rPr>
                <w:rFonts w:ascii="Times New Roman" w:hAnsi="Times New Roman" w:cs="Times New Roman"/>
                <w:spacing w:val="-4"/>
                <w:sz w:val="18"/>
                <w:szCs w:val="18"/>
              </w:rPr>
              <w:t>tg</w:t>
            </w:r>
            <w:proofErr w:type="spellEnd"/>
            <w:r w:rsidRPr="00D9269C">
              <w:rPr>
                <w:rFonts w:ascii="Times New Roman" w:hAnsi="Times New Roman" w:cs="Times New Roman"/>
                <w:spacing w:val="-4"/>
                <w:sz w:val="18"/>
                <w:szCs w:val="18"/>
              </w:rPr>
              <w:t>α´</w:t>
            </w:r>
          </w:p>
        </w:tc>
        <w:tc>
          <w:tcPr>
            <w:tcW w:w="500" w:type="pct"/>
            <w:tcBorders>
              <w:top w:val="single" w:sz="4" w:space="0" w:color="auto"/>
              <w:bottom w:val="single" w:sz="4" w:space="0" w:color="auto"/>
            </w:tcBorders>
            <w:vAlign w:val="center"/>
          </w:tcPr>
          <w:p w14:paraId="35F13DC2" w14:textId="77777777" w:rsidR="00D9269C" w:rsidRPr="00D9269C" w:rsidRDefault="00D9269C" w:rsidP="00D9269C">
            <w:pPr>
              <w:pStyle w:val="TableParagraph"/>
              <w:spacing w:before="0" w:line="240" w:lineRule="auto"/>
              <w:ind w:left="11"/>
              <w:rPr>
                <w:rFonts w:ascii="Times New Roman" w:hAnsi="Times New Roman" w:cs="Times New Roman"/>
                <w:sz w:val="18"/>
                <w:szCs w:val="18"/>
              </w:rPr>
            </w:pPr>
            <w:proofErr w:type="spellStart"/>
            <w:r w:rsidRPr="00D9269C">
              <w:rPr>
                <w:rFonts w:ascii="Times New Roman" w:hAnsi="Times New Roman" w:cs="Times New Roman"/>
                <w:i/>
                <w:sz w:val="18"/>
                <w:szCs w:val="18"/>
              </w:rPr>
              <w:t>K</w:t>
            </w:r>
            <w:r w:rsidRPr="00D9269C">
              <w:rPr>
                <w:rFonts w:ascii="Times New Roman" w:hAnsi="Times New Roman" w:cs="Times New Roman"/>
                <w:sz w:val="18"/>
                <w:szCs w:val="18"/>
                <w:vertAlign w:val="subscript"/>
              </w:rPr>
              <w:t>р</w:t>
            </w:r>
            <w:proofErr w:type="spellEnd"/>
            <w:r w:rsidRPr="00D9269C">
              <w:rPr>
                <w:rFonts w:ascii="Times New Roman" w:hAnsi="Times New Roman" w:cs="Times New Roman"/>
                <w:sz w:val="18"/>
                <w:szCs w:val="18"/>
              </w:rPr>
              <w:t>,</w:t>
            </w:r>
            <w:r w:rsidRPr="00D9269C">
              <w:rPr>
                <w:rFonts w:ascii="Times New Roman" w:hAnsi="Times New Roman" w:cs="Times New Roman"/>
                <w:spacing w:val="-2"/>
                <w:sz w:val="18"/>
                <w:szCs w:val="18"/>
              </w:rPr>
              <w:t xml:space="preserve"> </w:t>
            </w:r>
            <w:r w:rsidRPr="00D9269C">
              <w:rPr>
                <w:rFonts w:ascii="Times New Roman" w:hAnsi="Times New Roman" w:cs="Times New Roman"/>
                <w:spacing w:val="-10"/>
                <w:sz w:val="18"/>
                <w:szCs w:val="18"/>
              </w:rPr>
              <w:t>%</w:t>
            </w:r>
          </w:p>
        </w:tc>
      </w:tr>
      <w:tr w:rsidR="00D9269C" w:rsidRPr="00CA740D" w14:paraId="0CFA0A14" w14:textId="77777777" w:rsidTr="00AD1CB3">
        <w:trPr>
          <w:trHeight w:val="250"/>
        </w:trPr>
        <w:tc>
          <w:tcPr>
            <w:tcW w:w="1001" w:type="pct"/>
            <w:tcBorders>
              <w:top w:val="single" w:sz="4" w:space="0" w:color="auto"/>
            </w:tcBorders>
            <w:vAlign w:val="center"/>
          </w:tcPr>
          <w:p w14:paraId="2610612A" w14:textId="77777777" w:rsidR="00D9269C" w:rsidRPr="00D9269C" w:rsidRDefault="00D9269C" w:rsidP="00D9269C">
            <w:pPr>
              <w:pStyle w:val="TableParagraph"/>
              <w:spacing w:before="0" w:line="240" w:lineRule="auto"/>
              <w:ind w:left="50"/>
              <w:rPr>
                <w:rFonts w:ascii="Times New Roman" w:hAnsi="Times New Roman" w:cs="Times New Roman"/>
                <w:sz w:val="18"/>
                <w:szCs w:val="18"/>
              </w:rPr>
            </w:pPr>
            <w:proofErr w:type="spellStart"/>
            <w:r w:rsidRPr="00D9269C">
              <w:rPr>
                <w:rFonts w:ascii="Times New Roman" w:hAnsi="Times New Roman" w:cs="Times New Roman"/>
                <w:sz w:val="18"/>
                <w:szCs w:val="18"/>
              </w:rPr>
              <w:t>Without</w:t>
            </w:r>
            <w:proofErr w:type="spellEnd"/>
            <w:r w:rsidRPr="00D9269C">
              <w:rPr>
                <w:rFonts w:ascii="Times New Roman" w:hAnsi="Times New Roman" w:cs="Times New Roman"/>
                <w:sz w:val="18"/>
                <w:szCs w:val="18"/>
              </w:rPr>
              <w:t xml:space="preserve"> </w:t>
            </w:r>
            <w:proofErr w:type="spellStart"/>
            <w:r w:rsidRPr="00D9269C">
              <w:rPr>
                <w:rFonts w:ascii="Times New Roman" w:hAnsi="Times New Roman" w:cs="Times New Roman"/>
                <w:sz w:val="18"/>
                <w:szCs w:val="18"/>
              </w:rPr>
              <w:t>additive</w:t>
            </w:r>
            <w:proofErr w:type="spellEnd"/>
          </w:p>
        </w:tc>
        <w:tc>
          <w:tcPr>
            <w:tcW w:w="987" w:type="pct"/>
            <w:tcBorders>
              <w:top w:val="single" w:sz="4" w:space="0" w:color="auto"/>
            </w:tcBorders>
            <w:vAlign w:val="center"/>
          </w:tcPr>
          <w:p w14:paraId="5D6C58E2" w14:textId="77777777" w:rsidR="00D9269C" w:rsidRPr="00D9269C" w:rsidRDefault="00D9269C" w:rsidP="00D9269C">
            <w:pPr>
              <w:pStyle w:val="TableParagraph"/>
              <w:spacing w:before="0" w:line="240" w:lineRule="auto"/>
              <w:ind w:left="22" w:right="7"/>
              <w:rPr>
                <w:rFonts w:ascii="Times New Roman" w:hAnsi="Times New Roman" w:cs="Times New Roman"/>
                <w:sz w:val="18"/>
                <w:szCs w:val="18"/>
              </w:rPr>
            </w:pPr>
            <w:r w:rsidRPr="00D9269C">
              <w:rPr>
                <w:rFonts w:ascii="Times New Roman" w:hAnsi="Times New Roman" w:cs="Times New Roman"/>
                <w:spacing w:val="-10"/>
                <w:sz w:val="18"/>
                <w:szCs w:val="18"/>
              </w:rPr>
              <w:t>–</w:t>
            </w:r>
          </w:p>
        </w:tc>
        <w:tc>
          <w:tcPr>
            <w:tcW w:w="506" w:type="pct"/>
            <w:tcBorders>
              <w:top w:val="single" w:sz="4" w:space="0" w:color="auto"/>
            </w:tcBorders>
            <w:vAlign w:val="center"/>
          </w:tcPr>
          <w:p w14:paraId="209AB1AB"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–1,581</w:t>
            </w:r>
          </w:p>
        </w:tc>
        <w:tc>
          <w:tcPr>
            <w:tcW w:w="500" w:type="pct"/>
            <w:tcBorders>
              <w:top w:val="single" w:sz="4" w:space="0" w:color="auto"/>
            </w:tcBorders>
            <w:vAlign w:val="center"/>
          </w:tcPr>
          <w:p w14:paraId="699E9F3F"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48,41</w:t>
            </w:r>
          </w:p>
        </w:tc>
        <w:tc>
          <w:tcPr>
            <w:tcW w:w="497" w:type="pct"/>
            <w:tcBorders>
              <w:top w:val="single" w:sz="4" w:space="0" w:color="auto"/>
            </w:tcBorders>
            <w:vAlign w:val="center"/>
          </w:tcPr>
          <w:p w14:paraId="05502196"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–0,52</w:t>
            </w:r>
          </w:p>
        </w:tc>
        <w:tc>
          <w:tcPr>
            <w:tcW w:w="510" w:type="pct"/>
            <w:tcBorders>
              <w:top w:val="single" w:sz="4" w:space="0" w:color="auto"/>
            </w:tcBorders>
            <w:vAlign w:val="center"/>
          </w:tcPr>
          <w:p w14:paraId="6E2527F8"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52,07</w:t>
            </w:r>
          </w:p>
        </w:tc>
        <w:tc>
          <w:tcPr>
            <w:tcW w:w="499" w:type="pct"/>
            <w:tcBorders>
              <w:top w:val="single" w:sz="4" w:space="0" w:color="auto"/>
            </w:tcBorders>
            <w:vAlign w:val="center"/>
          </w:tcPr>
          <w:p w14:paraId="227B42F1"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–0,640</w:t>
            </w:r>
          </w:p>
        </w:tc>
        <w:tc>
          <w:tcPr>
            <w:tcW w:w="500" w:type="pct"/>
            <w:tcBorders>
              <w:top w:val="single" w:sz="4" w:space="0" w:color="auto"/>
            </w:tcBorders>
            <w:vAlign w:val="center"/>
          </w:tcPr>
          <w:p w14:paraId="6DC3D61D"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48,00</w:t>
            </w:r>
          </w:p>
        </w:tc>
      </w:tr>
      <w:tr w:rsidR="00D9269C" w:rsidRPr="00CA740D" w14:paraId="1CB046BA" w14:textId="77777777" w:rsidTr="00AD1CB3">
        <w:trPr>
          <w:trHeight w:val="249"/>
        </w:trPr>
        <w:tc>
          <w:tcPr>
            <w:tcW w:w="1001" w:type="pct"/>
            <w:vMerge w:val="restart"/>
            <w:vAlign w:val="center"/>
          </w:tcPr>
          <w:p w14:paraId="6F615856" w14:textId="77777777" w:rsidR="00D9269C" w:rsidRPr="00D9269C" w:rsidRDefault="00D9269C" w:rsidP="00D9269C">
            <w:pPr>
              <w:pStyle w:val="TableParagraph"/>
              <w:spacing w:before="0" w:line="240" w:lineRule="auto"/>
              <w:ind w:left="50"/>
              <w:rPr>
                <w:rFonts w:ascii="Times New Roman" w:hAnsi="Times New Roman" w:cs="Times New Roman"/>
                <w:sz w:val="18"/>
                <w:szCs w:val="18"/>
              </w:rPr>
            </w:pPr>
            <w:r w:rsidRPr="00D9269C">
              <w:rPr>
                <w:rFonts w:ascii="Times New Roman" w:hAnsi="Times New Roman" w:cs="Times New Roman"/>
                <w:sz w:val="18"/>
                <w:szCs w:val="18"/>
              </w:rPr>
              <w:t>DBP</w:t>
            </w:r>
          </w:p>
        </w:tc>
        <w:tc>
          <w:tcPr>
            <w:tcW w:w="987" w:type="pct"/>
            <w:vAlign w:val="center"/>
          </w:tcPr>
          <w:p w14:paraId="0486C87E"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2,5</w:t>
            </w:r>
          </w:p>
        </w:tc>
        <w:tc>
          <w:tcPr>
            <w:tcW w:w="506" w:type="pct"/>
            <w:vAlign w:val="center"/>
          </w:tcPr>
          <w:p w14:paraId="41C636F5"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–0,428</w:t>
            </w:r>
          </w:p>
        </w:tc>
        <w:tc>
          <w:tcPr>
            <w:tcW w:w="500" w:type="pct"/>
            <w:vAlign w:val="center"/>
          </w:tcPr>
          <w:p w14:paraId="6C371CC8"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81,54</w:t>
            </w:r>
          </w:p>
        </w:tc>
        <w:tc>
          <w:tcPr>
            <w:tcW w:w="497" w:type="pct"/>
            <w:vAlign w:val="center"/>
          </w:tcPr>
          <w:p w14:paraId="19582550"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–0,60</w:t>
            </w:r>
          </w:p>
        </w:tc>
        <w:tc>
          <w:tcPr>
            <w:tcW w:w="510" w:type="pct"/>
            <w:vAlign w:val="center"/>
          </w:tcPr>
          <w:p w14:paraId="659C1CE4"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53,18</w:t>
            </w:r>
          </w:p>
        </w:tc>
        <w:tc>
          <w:tcPr>
            <w:tcW w:w="499" w:type="pct"/>
            <w:vAlign w:val="center"/>
          </w:tcPr>
          <w:p w14:paraId="310D44D3"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–0,618</w:t>
            </w:r>
          </w:p>
        </w:tc>
        <w:tc>
          <w:tcPr>
            <w:tcW w:w="500" w:type="pct"/>
            <w:vAlign w:val="center"/>
          </w:tcPr>
          <w:p w14:paraId="65161F01"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53,18</w:t>
            </w:r>
          </w:p>
        </w:tc>
      </w:tr>
      <w:tr w:rsidR="00D9269C" w:rsidRPr="00CA740D" w14:paraId="4BAC8F69" w14:textId="77777777" w:rsidTr="00AD1CB3">
        <w:trPr>
          <w:trHeight w:val="250"/>
        </w:trPr>
        <w:tc>
          <w:tcPr>
            <w:tcW w:w="1001" w:type="pct"/>
            <w:vMerge/>
            <w:vAlign w:val="center"/>
          </w:tcPr>
          <w:p w14:paraId="31960D7C" w14:textId="77777777" w:rsidR="00D9269C" w:rsidRPr="00D9269C" w:rsidRDefault="00D9269C" w:rsidP="00D9269C">
            <w:pPr>
              <w:jc w:val="center"/>
              <w:rPr>
                <w:rFonts w:ascii="Times New Roman" w:hAnsi="Times New Roman" w:cs="Times New Roman"/>
                <w:sz w:val="18"/>
                <w:szCs w:val="18"/>
              </w:rPr>
            </w:pPr>
          </w:p>
        </w:tc>
        <w:tc>
          <w:tcPr>
            <w:tcW w:w="987" w:type="pct"/>
            <w:vAlign w:val="center"/>
          </w:tcPr>
          <w:p w14:paraId="64902590"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5,0</w:t>
            </w:r>
          </w:p>
        </w:tc>
        <w:tc>
          <w:tcPr>
            <w:tcW w:w="506" w:type="pct"/>
            <w:vAlign w:val="center"/>
          </w:tcPr>
          <w:p w14:paraId="08FDE526"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–0,480</w:t>
            </w:r>
          </w:p>
        </w:tc>
        <w:tc>
          <w:tcPr>
            <w:tcW w:w="500" w:type="pct"/>
            <w:vAlign w:val="center"/>
          </w:tcPr>
          <w:p w14:paraId="0F4CA27F"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82,76</w:t>
            </w:r>
          </w:p>
        </w:tc>
        <w:tc>
          <w:tcPr>
            <w:tcW w:w="497" w:type="pct"/>
            <w:vAlign w:val="center"/>
          </w:tcPr>
          <w:p w14:paraId="0A02A4C0"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–0,59</w:t>
            </w:r>
          </w:p>
        </w:tc>
        <w:tc>
          <w:tcPr>
            <w:tcW w:w="510" w:type="pct"/>
            <w:vAlign w:val="center"/>
          </w:tcPr>
          <w:p w14:paraId="22771F96"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53,48</w:t>
            </w:r>
          </w:p>
        </w:tc>
        <w:tc>
          <w:tcPr>
            <w:tcW w:w="499" w:type="pct"/>
            <w:vAlign w:val="center"/>
          </w:tcPr>
          <w:p w14:paraId="4F037C0F"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–0,646</w:t>
            </w:r>
          </w:p>
        </w:tc>
        <w:tc>
          <w:tcPr>
            <w:tcW w:w="500" w:type="pct"/>
            <w:vAlign w:val="center"/>
          </w:tcPr>
          <w:p w14:paraId="53BB18A0"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53,44</w:t>
            </w:r>
          </w:p>
        </w:tc>
      </w:tr>
      <w:tr w:rsidR="00D9269C" w:rsidRPr="00CA740D" w14:paraId="701B7C0A" w14:textId="77777777" w:rsidTr="00AD1CB3">
        <w:trPr>
          <w:trHeight w:val="250"/>
        </w:trPr>
        <w:tc>
          <w:tcPr>
            <w:tcW w:w="1001" w:type="pct"/>
            <w:vMerge/>
            <w:vAlign w:val="center"/>
          </w:tcPr>
          <w:p w14:paraId="36068E74" w14:textId="77777777" w:rsidR="00D9269C" w:rsidRPr="00D9269C" w:rsidRDefault="00D9269C" w:rsidP="00D9269C">
            <w:pPr>
              <w:jc w:val="center"/>
              <w:rPr>
                <w:rFonts w:ascii="Times New Roman" w:hAnsi="Times New Roman" w:cs="Times New Roman"/>
                <w:sz w:val="18"/>
                <w:szCs w:val="18"/>
              </w:rPr>
            </w:pPr>
          </w:p>
        </w:tc>
        <w:tc>
          <w:tcPr>
            <w:tcW w:w="987" w:type="pct"/>
            <w:vAlign w:val="center"/>
          </w:tcPr>
          <w:p w14:paraId="3493D3C7"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7,5</w:t>
            </w:r>
          </w:p>
        </w:tc>
        <w:tc>
          <w:tcPr>
            <w:tcW w:w="506" w:type="pct"/>
            <w:vAlign w:val="center"/>
          </w:tcPr>
          <w:p w14:paraId="263058C1"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–0,769</w:t>
            </w:r>
          </w:p>
        </w:tc>
        <w:tc>
          <w:tcPr>
            <w:tcW w:w="500" w:type="pct"/>
            <w:vAlign w:val="center"/>
          </w:tcPr>
          <w:p w14:paraId="27C9A753"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83,75</w:t>
            </w:r>
          </w:p>
        </w:tc>
        <w:tc>
          <w:tcPr>
            <w:tcW w:w="497" w:type="pct"/>
            <w:vAlign w:val="center"/>
          </w:tcPr>
          <w:p w14:paraId="7E24F25E"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–0,57</w:t>
            </w:r>
          </w:p>
        </w:tc>
        <w:tc>
          <w:tcPr>
            <w:tcW w:w="510" w:type="pct"/>
            <w:vAlign w:val="center"/>
          </w:tcPr>
          <w:p w14:paraId="6A72EA78"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54,27</w:t>
            </w:r>
          </w:p>
        </w:tc>
        <w:tc>
          <w:tcPr>
            <w:tcW w:w="499" w:type="pct"/>
            <w:vAlign w:val="center"/>
          </w:tcPr>
          <w:p w14:paraId="5599F434"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–0,645</w:t>
            </w:r>
          </w:p>
        </w:tc>
        <w:tc>
          <w:tcPr>
            <w:tcW w:w="500" w:type="pct"/>
            <w:vAlign w:val="center"/>
          </w:tcPr>
          <w:p w14:paraId="0E3A5D57"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55,27</w:t>
            </w:r>
          </w:p>
        </w:tc>
      </w:tr>
      <w:tr w:rsidR="00D9269C" w:rsidRPr="00CA740D" w14:paraId="6C0E86FC" w14:textId="77777777" w:rsidTr="00AD1CB3">
        <w:trPr>
          <w:trHeight w:val="249"/>
        </w:trPr>
        <w:tc>
          <w:tcPr>
            <w:tcW w:w="1001" w:type="pct"/>
            <w:vMerge/>
            <w:vAlign w:val="center"/>
          </w:tcPr>
          <w:p w14:paraId="697276A1" w14:textId="77777777" w:rsidR="00D9269C" w:rsidRPr="00D9269C" w:rsidRDefault="00D9269C" w:rsidP="00D9269C">
            <w:pPr>
              <w:jc w:val="center"/>
              <w:rPr>
                <w:rFonts w:ascii="Times New Roman" w:hAnsi="Times New Roman" w:cs="Times New Roman"/>
                <w:sz w:val="18"/>
                <w:szCs w:val="18"/>
              </w:rPr>
            </w:pPr>
          </w:p>
        </w:tc>
        <w:tc>
          <w:tcPr>
            <w:tcW w:w="987" w:type="pct"/>
            <w:vAlign w:val="center"/>
          </w:tcPr>
          <w:p w14:paraId="673DE703" w14:textId="77777777" w:rsidR="00D9269C" w:rsidRPr="00D9269C" w:rsidRDefault="00D9269C" w:rsidP="00D9269C">
            <w:pPr>
              <w:pStyle w:val="TableParagraph"/>
              <w:spacing w:before="0" w:line="240" w:lineRule="auto"/>
              <w:ind w:left="22" w:right="8"/>
              <w:rPr>
                <w:rFonts w:ascii="Times New Roman" w:hAnsi="Times New Roman" w:cs="Times New Roman"/>
                <w:sz w:val="18"/>
                <w:szCs w:val="18"/>
              </w:rPr>
            </w:pPr>
            <w:r w:rsidRPr="00D9269C">
              <w:rPr>
                <w:rFonts w:ascii="Times New Roman" w:hAnsi="Times New Roman" w:cs="Times New Roman"/>
                <w:spacing w:val="-4"/>
                <w:sz w:val="18"/>
                <w:szCs w:val="18"/>
              </w:rPr>
              <w:t>10,0</w:t>
            </w:r>
          </w:p>
        </w:tc>
        <w:tc>
          <w:tcPr>
            <w:tcW w:w="506" w:type="pct"/>
            <w:vAlign w:val="center"/>
          </w:tcPr>
          <w:p w14:paraId="4CD446D7"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–0,863</w:t>
            </w:r>
          </w:p>
        </w:tc>
        <w:tc>
          <w:tcPr>
            <w:tcW w:w="500" w:type="pct"/>
            <w:vAlign w:val="center"/>
          </w:tcPr>
          <w:p w14:paraId="06AE7D67"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85,30</w:t>
            </w:r>
          </w:p>
        </w:tc>
        <w:tc>
          <w:tcPr>
            <w:tcW w:w="497" w:type="pct"/>
            <w:vAlign w:val="center"/>
          </w:tcPr>
          <w:p w14:paraId="6F0D7CFB"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–0,56</w:t>
            </w:r>
          </w:p>
        </w:tc>
        <w:tc>
          <w:tcPr>
            <w:tcW w:w="510" w:type="pct"/>
            <w:vAlign w:val="center"/>
          </w:tcPr>
          <w:p w14:paraId="73809B99"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60,22</w:t>
            </w:r>
          </w:p>
        </w:tc>
        <w:tc>
          <w:tcPr>
            <w:tcW w:w="499" w:type="pct"/>
            <w:vAlign w:val="center"/>
          </w:tcPr>
          <w:p w14:paraId="27DE2482"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–0,638</w:t>
            </w:r>
          </w:p>
        </w:tc>
        <w:tc>
          <w:tcPr>
            <w:tcW w:w="500" w:type="pct"/>
            <w:vAlign w:val="center"/>
          </w:tcPr>
          <w:p w14:paraId="102B66AC"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55,33</w:t>
            </w:r>
          </w:p>
        </w:tc>
      </w:tr>
      <w:tr w:rsidR="00D9269C" w:rsidRPr="00CA740D" w14:paraId="20E9128A" w14:textId="77777777" w:rsidTr="00AD1CB3">
        <w:trPr>
          <w:trHeight w:val="250"/>
        </w:trPr>
        <w:tc>
          <w:tcPr>
            <w:tcW w:w="1001" w:type="pct"/>
            <w:vMerge w:val="restart"/>
            <w:tcBorders>
              <w:bottom w:val="single" w:sz="4" w:space="0" w:color="auto"/>
            </w:tcBorders>
            <w:vAlign w:val="center"/>
          </w:tcPr>
          <w:p w14:paraId="045D5BB9" w14:textId="77777777" w:rsidR="00D9269C" w:rsidRPr="00D9269C" w:rsidRDefault="00D9269C" w:rsidP="00D9269C">
            <w:pPr>
              <w:pStyle w:val="TableParagraph"/>
              <w:spacing w:before="0" w:line="240" w:lineRule="auto"/>
              <w:ind w:left="50"/>
              <w:rPr>
                <w:rFonts w:ascii="Times New Roman" w:hAnsi="Times New Roman" w:cs="Times New Roman"/>
                <w:sz w:val="18"/>
                <w:szCs w:val="18"/>
              </w:rPr>
            </w:pPr>
            <w:r w:rsidRPr="00D9269C">
              <w:rPr>
                <w:rFonts w:ascii="Times New Roman" w:hAnsi="Times New Roman" w:cs="Times New Roman"/>
                <w:sz w:val="18"/>
                <w:szCs w:val="18"/>
              </w:rPr>
              <w:t>BRGPR</w:t>
            </w:r>
          </w:p>
        </w:tc>
        <w:tc>
          <w:tcPr>
            <w:tcW w:w="987" w:type="pct"/>
            <w:vAlign w:val="center"/>
          </w:tcPr>
          <w:p w14:paraId="0C948A86"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2,5</w:t>
            </w:r>
          </w:p>
        </w:tc>
        <w:tc>
          <w:tcPr>
            <w:tcW w:w="506" w:type="pct"/>
            <w:vAlign w:val="center"/>
          </w:tcPr>
          <w:p w14:paraId="3992E0A4"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–0,987</w:t>
            </w:r>
          </w:p>
        </w:tc>
        <w:tc>
          <w:tcPr>
            <w:tcW w:w="500" w:type="pct"/>
            <w:vAlign w:val="center"/>
          </w:tcPr>
          <w:p w14:paraId="52C0C2A0"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77,63</w:t>
            </w:r>
          </w:p>
        </w:tc>
        <w:tc>
          <w:tcPr>
            <w:tcW w:w="497" w:type="pct"/>
            <w:vAlign w:val="center"/>
          </w:tcPr>
          <w:p w14:paraId="47F7662A"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–0,57</w:t>
            </w:r>
          </w:p>
        </w:tc>
        <w:tc>
          <w:tcPr>
            <w:tcW w:w="510" w:type="pct"/>
            <w:vAlign w:val="center"/>
          </w:tcPr>
          <w:p w14:paraId="791744A0"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56,13</w:t>
            </w:r>
          </w:p>
        </w:tc>
        <w:tc>
          <w:tcPr>
            <w:tcW w:w="499" w:type="pct"/>
            <w:vAlign w:val="center"/>
          </w:tcPr>
          <w:p w14:paraId="0CB0B97F"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–0,645</w:t>
            </w:r>
          </w:p>
        </w:tc>
        <w:tc>
          <w:tcPr>
            <w:tcW w:w="500" w:type="pct"/>
            <w:vAlign w:val="center"/>
          </w:tcPr>
          <w:p w14:paraId="72C8EAEA"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53,90</w:t>
            </w:r>
          </w:p>
        </w:tc>
      </w:tr>
      <w:tr w:rsidR="00D9269C" w:rsidRPr="00CA740D" w14:paraId="5326785D" w14:textId="77777777" w:rsidTr="00AD1CB3">
        <w:trPr>
          <w:trHeight w:val="249"/>
        </w:trPr>
        <w:tc>
          <w:tcPr>
            <w:tcW w:w="1001" w:type="pct"/>
            <w:vMerge/>
            <w:tcBorders>
              <w:bottom w:val="single" w:sz="4" w:space="0" w:color="auto"/>
            </w:tcBorders>
            <w:vAlign w:val="center"/>
          </w:tcPr>
          <w:p w14:paraId="2878F19B" w14:textId="77777777" w:rsidR="00D9269C" w:rsidRPr="00D9269C" w:rsidRDefault="00D9269C" w:rsidP="00D9269C">
            <w:pPr>
              <w:jc w:val="center"/>
              <w:rPr>
                <w:rFonts w:ascii="Times New Roman" w:hAnsi="Times New Roman" w:cs="Times New Roman"/>
                <w:sz w:val="18"/>
                <w:szCs w:val="18"/>
              </w:rPr>
            </w:pPr>
          </w:p>
        </w:tc>
        <w:tc>
          <w:tcPr>
            <w:tcW w:w="987" w:type="pct"/>
            <w:vAlign w:val="center"/>
          </w:tcPr>
          <w:p w14:paraId="42D986FF"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5,0</w:t>
            </w:r>
          </w:p>
        </w:tc>
        <w:tc>
          <w:tcPr>
            <w:tcW w:w="506" w:type="pct"/>
            <w:vAlign w:val="center"/>
          </w:tcPr>
          <w:p w14:paraId="2E1CCD9D"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–0,987</w:t>
            </w:r>
          </w:p>
        </w:tc>
        <w:tc>
          <w:tcPr>
            <w:tcW w:w="500" w:type="pct"/>
            <w:vAlign w:val="center"/>
          </w:tcPr>
          <w:p w14:paraId="2208C5DF"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79,85</w:t>
            </w:r>
          </w:p>
        </w:tc>
        <w:tc>
          <w:tcPr>
            <w:tcW w:w="497" w:type="pct"/>
            <w:vAlign w:val="center"/>
          </w:tcPr>
          <w:p w14:paraId="459BBA94"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–0,55</w:t>
            </w:r>
          </w:p>
        </w:tc>
        <w:tc>
          <w:tcPr>
            <w:tcW w:w="510" w:type="pct"/>
            <w:vAlign w:val="center"/>
          </w:tcPr>
          <w:p w14:paraId="02518CF2"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56,50</w:t>
            </w:r>
          </w:p>
        </w:tc>
        <w:tc>
          <w:tcPr>
            <w:tcW w:w="499" w:type="pct"/>
            <w:vAlign w:val="center"/>
          </w:tcPr>
          <w:p w14:paraId="0D98D6D7"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–0,635</w:t>
            </w:r>
          </w:p>
        </w:tc>
        <w:tc>
          <w:tcPr>
            <w:tcW w:w="500" w:type="pct"/>
            <w:vAlign w:val="center"/>
          </w:tcPr>
          <w:p w14:paraId="3B76AF0E"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57,20</w:t>
            </w:r>
          </w:p>
        </w:tc>
      </w:tr>
      <w:tr w:rsidR="00D9269C" w:rsidRPr="00CA740D" w14:paraId="44F9F65A" w14:textId="77777777" w:rsidTr="00AD1CB3">
        <w:trPr>
          <w:trHeight w:val="250"/>
        </w:trPr>
        <w:tc>
          <w:tcPr>
            <w:tcW w:w="1001" w:type="pct"/>
            <w:vMerge/>
            <w:tcBorders>
              <w:bottom w:val="single" w:sz="4" w:space="0" w:color="auto"/>
            </w:tcBorders>
            <w:vAlign w:val="center"/>
          </w:tcPr>
          <w:p w14:paraId="05E45E2E" w14:textId="77777777" w:rsidR="00D9269C" w:rsidRPr="00D9269C" w:rsidRDefault="00D9269C" w:rsidP="00D9269C">
            <w:pPr>
              <w:jc w:val="center"/>
              <w:rPr>
                <w:rFonts w:ascii="Times New Roman" w:hAnsi="Times New Roman" w:cs="Times New Roman"/>
                <w:sz w:val="18"/>
                <w:szCs w:val="18"/>
              </w:rPr>
            </w:pPr>
          </w:p>
        </w:tc>
        <w:tc>
          <w:tcPr>
            <w:tcW w:w="987" w:type="pct"/>
            <w:vAlign w:val="center"/>
          </w:tcPr>
          <w:p w14:paraId="24FDCEBF" w14:textId="77777777" w:rsidR="00D9269C" w:rsidRPr="00D9269C" w:rsidRDefault="00D9269C" w:rsidP="00D9269C">
            <w:pPr>
              <w:pStyle w:val="TableParagraph"/>
              <w:spacing w:before="0" w:line="240" w:lineRule="auto"/>
              <w:ind w:left="22" w:right="9"/>
              <w:rPr>
                <w:rFonts w:ascii="Times New Roman" w:hAnsi="Times New Roman" w:cs="Times New Roman"/>
                <w:sz w:val="18"/>
                <w:szCs w:val="18"/>
              </w:rPr>
            </w:pPr>
            <w:r w:rsidRPr="00D9269C">
              <w:rPr>
                <w:rFonts w:ascii="Times New Roman" w:hAnsi="Times New Roman" w:cs="Times New Roman"/>
                <w:spacing w:val="-5"/>
                <w:sz w:val="18"/>
                <w:szCs w:val="18"/>
              </w:rPr>
              <w:t>7,5</w:t>
            </w:r>
          </w:p>
        </w:tc>
        <w:tc>
          <w:tcPr>
            <w:tcW w:w="506" w:type="pct"/>
            <w:vAlign w:val="center"/>
          </w:tcPr>
          <w:p w14:paraId="37F14C87"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–0,835</w:t>
            </w:r>
          </w:p>
        </w:tc>
        <w:tc>
          <w:tcPr>
            <w:tcW w:w="500" w:type="pct"/>
            <w:vAlign w:val="center"/>
          </w:tcPr>
          <w:p w14:paraId="3F11BA66"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81,93</w:t>
            </w:r>
          </w:p>
        </w:tc>
        <w:tc>
          <w:tcPr>
            <w:tcW w:w="497" w:type="pct"/>
            <w:vAlign w:val="center"/>
          </w:tcPr>
          <w:p w14:paraId="2628AF5A"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–0,48</w:t>
            </w:r>
          </w:p>
        </w:tc>
        <w:tc>
          <w:tcPr>
            <w:tcW w:w="510" w:type="pct"/>
            <w:vAlign w:val="center"/>
          </w:tcPr>
          <w:p w14:paraId="01DBD070"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60,89</w:t>
            </w:r>
          </w:p>
        </w:tc>
        <w:tc>
          <w:tcPr>
            <w:tcW w:w="499" w:type="pct"/>
            <w:vAlign w:val="center"/>
          </w:tcPr>
          <w:p w14:paraId="68D809C3"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–0,628</w:t>
            </w:r>
          </w:p>
        </w:tc>
        <w:tc>
          <w:tcPr>
            <w:tcW w:w="500" w:type="pct"/>
            <w:vAlign w:val="center"/>
          </w:tcPr>
          <w:p w14:paraId="42FB7D12"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57,32</w:t>
            </w:r>
          </w:p>
        </w:tc>
      </w:tr>
      <w:tr w:rsidR="00D9269C" w:rsidRPr="00CA740D" w14:paraId="44F11F38" w14:textId="77777777" w:rsidTr="00AD1CB3">
        <w:trPr>
          <w:trHeight w:val="250"/>
        </w:trPr>
        <w:tc>
          <w:tcPr>
            <w:tcW w:w="1001" w:type="pct"/>
            <w:vMerge/>
            <w:tcBorders>
              <w:bottom w:val="single" w:sz="4" w:space="0" w:color="auto"/>
            </w:tcBorders>
            <w:vAlign w:val="center"/>
          </w:tcPr>
          <w:p w14:paraId="446CBA3B" w14:textId="77777777" w:rsidR="00D9269C" w:rsidRPr="00D9269C" w:rsidRDefault="00D9269C" w:rsidP="00D9269C">
            <w:pPr>
              <w:jc w:val="center"/>
              <w:rPr>
                <w:rFonts w:ascii="Times New Roman" w:hAnsi="Times New Roman" w:cs="Times New Roman"/>
                <w:sz w:val="18"/>
                <w:szCs w:val="18"/>
              </w:rPr>
            </w:pPr>
          </w:p>
        </w:tc>
        <w:tc>
          <w:tcPr>
            <w:tcW w:w="987" w:type="pct"/>
            <w:tcBorders>
              <w:bottom w:val="single" w:sz="4" w:space="0" w:color="auto"/>
            </w:tcBorders>
            <w:vAlign w:val="center"/>
          </w:tcPr>
          <w:p w14:paraId="1A31339E" w14:textId="77777777" w:rsidR="00D9269C" w:rsidRPr="00D9269C" w:rsidRDefault="00D9269C" w:rsidP="00D9269C">
            <w:pPr>
              <w:pStyle w:val="TableParagraph"/>
              <w:spacing w:before="0" w:line="240" w:lineRule="auto"/>
              <w:ind w:left="22" w:right="8"/>
              <w:rPr>
                <w:rFonts w:ascii="Times New Roman" w:hAnsi="Times New Roman" w:cs="Times New Roman"/>
                <w:sz w:val="18"/>
                <w:szCs w:val="18"/>
              </w:rPr>
            </w:pPr>
            <w:r w:rsidRPr="00D9269C">
              <w:rPr>
                <w:rFonts w:ascii="Times New Roman" w:hAnsi="Times New Roman" w:cs="Times New Roman"/>
                <w:spacing w:val="-4"/>
                <w:sz w:val="18"/>
                <w:szCs w:val="18"/>
              </w:rPr>
              <w:t>10,0</w:t>
            </w:r>
          </w:p>
        </w:tc>
        <w:tc>
          <w:tcPr>
            <w:tcW w:w="506" w:type="pct"/>
            <w:tcBorders>
              <w:bottom w:val="single" w:sz="4" w:space="0" w:color="auto"/>
            </w:tcBorders>
            <w:vAlign w:val="center"/>
          </w:tcPr>
          <w:p w14:paraId="6C95E121" w14:textId="77777777" w:rsidR="00D9269C" w:rsidRPr="00D9269C" w:rsidRDefault="00D9269C" w:rsidP="00D9269C">
            <w:pPr>
              <w:pStyle w:val="TableParagraph"/>
              <w:spacing w:before="0" w:line="240" w:lineRule="auto"/>
              <w:ind w:left="8"/>
              <w:rPr>
                <w:rFonts w:ascii="Times New Roman" w:hAnsi="Times New Roman" w:cs="Times New Roman"/>
                <w:sz w:val="18"/>
                <w:szCs w:val="18"/>
              </w:rPr>
            </w:pPr>
            <w:r w:rsidRPr="00D9269C">
              <w:rPr>
                <w:rFonts w:ascii="Times New Roman" w:hAnsi="Times New Roman" w:cs="Times New Roman"/>
                <w:spacing w:val="-2"/>
                <w:sz w:val="18"/>
                <w:szCs w:val="18"/>
              </w:rPr>
              <w:t>–0,850</w:t>
            </w:r>
          </w:p>
        </w:tc>
        <w:tc>
          <w:tcPr>
            <w:tcW w:w="500" w:type="pct"/>
            <w:tcBorders>
              <w:bottom w:val="single" w:sz="4" w:space="0" w:color="auto"/>
            </w:tcBorders>
            <w:vAlign w:val="center"/>
          </w:tcPr>
          <w:p w14:paraId="4CEA99B0" w14:textId="77777777" w:rsidR="00D9269C" w:rsidRPr="00D9269C" w:rsidRDefault="00D9269C" w:rsidP="00D9269C">
            <w:pPr>
              <w:pStyle w:val="TableParagraph"/>
              <w:spacing w:before="0" w:line="240" w:lineRule="auto"/>
              <w:rPr>
                <w:rFonts w:ascii="Times New Roman" w:hAnsi="Times New Roman" w:cs="Times New Roman"/>
                <w:sz w:val="18"/>
                <w:szCs w:val="18"/>
              </w:rPr>
            </w:pPr>
            <w:r w:rsidRPr="00D9269C">
              <w:rPr>
                <w:rFonts w:ascii="Times New Roman" w:hAnsi="Times New Roman" w:cs="Times New Roman"/>
                <w:spacing w:val="-2"/>
                <w:sz w:val="18"/>
                <w:szCs w:val="18"/>
              </w:rPr>
              <w:t>83,60</w:t>
            </w:r>
          </w:p>
        </w:tc>
        <w:tc>
          <w:tcPr>
            <w:tcW w:w="497" w:type="pct"/>
            <w:tcBorders>
              <w:bottom w:val="single" w:sz="4" w:space="0" w:color="auto"/>
            </w:tcBorders>
            <w:vAlign w:val="center"/>
          </w:tcPr>
          <w:p w14:paraId="5F16C196" w14:textId="77777777" w:rsidR="00D9269C" w:rsidRPr="00D9269C" w:rsidRDefault="00D9269C" w:rsidP="00D9269C">
            <w:pPr>
              <w:pStyle w:val="TableParagraph"/>
              <w:spacing w:before="0" w:line="240" w:lineRule="auto"/>
              <w:ind w:left="21" w:right="97"/>
              <w:rPr>
                <w:rFonts w:ascii="Times New Roman" w:hAnsi="Times New Roman" w:cs="Times New Roman"/>
                <w:sz w:val="18"/>
                <w:szCs w:val="18"/>
              </w:rPr>
            </w:pPr>
            <w:r w:rsidRPr="00D9269C">
              <w:rPr>
                <w:rFonts w:ascii="Times New Roman" w:hAnsi="Times New Roman" w:cs="Times New Roman"/>
                <w:spacing w:val="-2"/>
                <w:sz w:val="18"/>
                <w:szCs w:val="18"/>
              </w:rPr>
              <w:t>–0,48</w:t>
            </w:r>
          </w:p>
        </w:tc>
        <w:tc>
          <w:tcPr>
            <w:tcW w:w="510" w:type="pct"/>
            <w:tcBorders>
              <w:bottom w:val="single" w:sz="4" w:space="0" w:color="auto"/>
            </w:tcBorders>
            <w:vAlign w:val="center"/>
          </w:tcPr>
          <w:p w14:paraId="070D90BB" w14:textId="77777777" w:rsidR="00D9269C" w:rsidRPr="00D9269C" w:rsidRDefault="00D9269C" w:rsidP="00D9269C">
            <w:pPr>
              <w:pStyle w:val="TableParagraph"/>
              <w:spacing w:before="0" w:line="240" w:lineRule="auto"/>
              <w:ind w:left="0" w:right="2"/>
              <w:rPr>
                <w:rFonts w:ascii="Times New Roman" w:hAnsi="Times New Roman" w:cs="Times New Roman"/>
                <w:sz w:val="18"/>
                <w:szCs w:val="18"/>
              </w:rPr>
            </w:pPr>
            <w:r w:rsidRPr="00D9269C">
              <w:rPr>
                <w:rFonts w:ascii="Times New Roman" w:hAnsi="Times New Roman" w:cs="Times New Roman"/>
                <w:spacing w:val="-2"/>
                <w:sz w:val="18"/>
                <w:szCs w:val="18"/>
              </w:rPr>
              <w:t>64,14</w:t>
            </w:r>
          </w:p>
        </w:tc>
        <w:tc>
          <w:tcPr>
            <w:tcW w:w="499" w:type="pct"/>
            <w:tcBorders>
              <w:bottom w:val="single" w:sz="4" w:space="0" w:color="auto"/>
            </w:tcBorders>
            <w:vAlign w:val="center"/>
          </w:tcPr>
          <w:p w14:paraId="2E76055D" w14:textId="77777777" w:rsidR="00D9269C" w:rsidRPr="00D9269C" w:rsidRDefault="00D9269C" w:rsidP="00D9269C">
            <w:pPr>
              <w:pStyle w:val="TableParagraph"/>
              <w:spacing w:before="0" w:line="240" w:lineRule="auto"/>
              <w:ind w:left="13" w:right="1"/>
              <w:rPr>
                <w:rFonts w:ascii="Times New Roman" w:hAnsi="Times New Roman" w:cs="Times New Roman"/>
                <w:sz w:val="18"/>
                <w:szCs w:val="18"/>
              </w:rPr>
            </w:pPr>
            <w:r w:rsidRPr="00D9269C">
              <w:rPr>
                <w:rFonts w:ascii="Times New Roman" w:hAnsi="Times New Roman" w:cs="Times New Roman"/>
                <w:spacing w:val="-2"/>
                <w:sz w:val="18"/>
                <w:szCs w:val="18"/>
              </w:rPr>
              <w:t>–0,623</w:t>
            </w:r>
          </w:p>
        </w:tc>
        <w:tc>
          <w:tcPr>
            <w:tcW w:w="500" w:type="pct"/>
            <w:tcBorders>
              <w:bottom w:val="single" w:sz="4" w:space="0" w:color="auto"/>
            </w:tcBorders>
            <w:vAlign w:val="center"/>
          </w:tcPr>
          <w:p w14:paraId="00B899CE" w14:textId="77777777" w:rsidR="00D9269C" w:rsidRPr="00D9269C" w:rsidRDefault="00D9269C" w:rsidP="00D9269C">
            <w:pPr>
              <w:pStyle w:val="TableParagraph"/>
              <w:spacing w:before="0" w:line="240" w:lineRule="auto"/>
              <w:ind w:left="11" w:right="2"/>
              <w:rPr>
                <w:rFonts w:ascii="Times New Roman" w:hAnsi="Times New Roman" w:cs="Times New Roman"/>
                <w:sz w:val="18"/>
                <w:szCs w:val="18"/>
              </w:rPr>
            </w:pPr>
            <w:r w:rsidRPr="00D9269C">
              <w:rPr>
                <w:rFonts w:ascii="Times New Roman" w:hAnsi="Times New Roman" w:cs="Times New Roman"/>
                <w:spacing w:val="-2"/>
                <w:sz w:val="18"/>
                <w:szCs w:val="18"/>
              </w:rPr>
              <w:t>58,80</w:t>
            </w:r>
          </w:p>
        </w:tc>
      </w:tr>
    </w:tbl>
    <w:p w14:paraId="18C5389E" w14:textId="340F17CA" w:rsidR="00701CD3" w:rsidRDefault="00D9269C" w:rsidP="00077F81">
      <w:pPr>
        <w:pStyle w:val="af3"/>
        <w:spacing w:before="120" w:line="240" w:lineRule="auto"/>
        <w:ind w:right="40" w:firstLine="284"/>
        <w:jc w:val="both"/>
        <w:rPr>
          <w:sz w:val="20"/>
          <w:szCs w:val="20"/>
          <w:lang w:val="en-US"/>
        </w:rPr>
      </w:pPr>
      <w:r w:rsidRPr="000F3145">
        <w:rPr>
          <w:sz w:val="20"/>
          <w:szCs w:val="20"/>
          <w:lang w:val="en-US"/>
        </w:rPr>
        <w:t>The tangent of the angle of inclination of the tangent to the relaxation graph 1 second after the rotor stops (</w:t>
      </w:r>
      <w:proofErr w:type="spellStart"/>
      <w:r w:rsidRPr="000F3145">
        <w:rPr>
          <w:sz w:val="20"/>
          <w:szCs w:val="20"/>
          <w:lang w:val="en-US"/>
        </w:rPr>
        <w:t>tg</w:t>
      </w:r>
      <w:proofErr w:type="spellEnd"/>
      <w:r w:rsidRPr="000F3145">
        <w:rPr>
          <w:sz w:val="20"/>
          <w:szCs w:val="20"/>
        </w:rPr>
        <w:t>α</w:t>
      </w:r>
      <w:r w:rsidRPr="000F3145">
        <w:rPr>
          <w:sz w:val="20"/>
          <w:szCs w:val="20"/>
          <w:lang w:val="en-US"/>
        </w:rPr>
        <w:t>´), or the slope of the relaxation curve in logarithmic coordinates (</w:t>
      </w:r>
      <w:r w:rsidRPr="000F3145">
        <w:rPr>
          <w:sz w:val="20"/>
          <w:szCs w:val="20"/>
        </w:rPr>
        <w:t>α</w:t>
      </w:r>
      <w:r w:rsidRPr="000F3145">
        <w:rPr>
          <w:sz w:val="20"/>
          <w:szCs w:val="20"/>
          <w:lang w:val="en-US"/>
        </w:rPr>
        <w:t xml:space="preserve">), is a measure of the relaxation rate. The slope of the relaxation curve can be influenced by the polymerization process, molecular weight distribution, branching, average molecular weight, microstructure, filler content, their particle size, plasticizer content, additives, mixing method, etc. [15, 16]. </w:t>
      </w:r>
      <w:r w:rsidR="00865ABD" w:rsidRPr="00865ABD">
        <w:rPr>
          <w:sz w:val="20"/>
          <w:szCs w:val="20"/>
          <w:lang w:val="en-US"/>
        </w:rPr>
        <w:t xml:space="preserve">The data clearly indicate that incorporating plasticizers into SKI-3-based elastomeric matrices significantly enhances stress relaxation behavior. Notably, when 2.5 parts by weight of plasticizer are added, the relaxation coefficient increases by approximately 51–69%. Among the tested plasticizers, dibutyl phthalate (DBP) and the gas pyrolysis resin bottom residue (BRGPR) had the most substantial effects. For rubber mixtures without any additives, the relaxation coefficient was 48.41%. This value rose to 81.54% and 77.63% following the addition of 2.5 </w:t>
      </w:r>
      <w:proofErr w:type="spellStart"/>
      <w:r w:rsidR="00865ABD" w:rsidRPr="00865ABD">
        <w:rPr>
          <w:sz w:val="20"/>
          <w:szCs w:val="20"/>
          <w:lang w:val="en-US"/>
        </w:rPr>
        <w:t>phr</w:t>
      </w:r>
      <w:proofErr w:type="spellEnd"/>
      <w:r w:rsidR="00865ABD" w:rsidRPr="00865ABD">
        <w:rPr>
          <w:sz w:val="20"/>
          <w:szCs w:val="20"/>
          <w:lang w:val="en-US"/>
        </w:rPr>
        <w:t xml:space="preserve"> of DBP and BRGPR, respectively. Furthermore, the inclusion of plasticizers not only promotes relaxation but also leads to a measurable reduction</w:t>
      </w:r>
      <w:r w:rsidR="00865ABD">
        <w:rPr>
          <w:sz w:val="20"/>
          <w:szCs w:val="20"/>
          <w:lang w:val="en-US"/>
        </w:rPr>
        <w:t xml:space="preserve"> in the stress relaxation rate. </w:t>
      </w:r>
      <w:r w:rsidR="00865ABD" w:rsidRPr="00865ABD">
        <w:rPr>
          <w:sz w:val="20"/>
          <w:szCs w:val="20"/>
          <w:lang w:val="en-US"/>
        </w:rPr>
        <w:t xml:space="preserve">Further experiments on rubber compounds based on SKMS-30ARKM-15 and SKEPT confirmed that BRGPR has a more pronounced impact on the relaxation coefficient than DBP. Specifically, in SKMS-30ARKM-15-based formulations, the addition of 2.5 </w:t>
      </w:r>
      <w:proofErr w:type="spellStart"/>
      <w:r w:rsidR="00865ABD" w:rsidRPr="00865ABD">
        <w:rPr>
          <w:sz w:val="20"/>
          <w:szCs w:val="20"/>
          <w:lang w:val="en-US"/>
        </w:rPr>
        <w:t>phr</w:t>
      </w:r>
      <w:proofErr w:type="spellEnd"/>
      <w:r w:rsidR="00865ABD" w:rsidRPr="00865ABD">
        <w:rPr>
          <w:sz w:val="20"/>
          <w:szCs w:val="20"/>
          <w:lang w:val="en-US"/>
        </w:rPr>
        <w:t xml:space="preserve"> of DBP resulted in a relaxation coefficient of 55.37%, whereas the same concentration of BRGPR increased it to 57.73%. The slope of the relaxation curve (</w:t>
      </w:r>
      <w:proofErr w:type="spellStart"/>
      <w:r w:rsidR="00865ABD" w:rsidRPr="00865ABD">
        <w:rPr>
          <w:sz w:val="20"/>
          <w:szCs w:val="20"/>
          <w:lang w:val="en-US"/>
        </w:rPr>
        <w:t>tg</w:t>
      </w:r>
      <w:proofErr w:type="spellEnd"/>
      <w:r w:rsidR="00865ABD" w:rsidRPr="00865ABD">
        <w:rPr>
          <w:sz w:val="20"/>
          <w:szCs w:val="20"/>
          <w:lang w:val="en-US"/>
        </w:rPr>
        <w:t xml:space="preserve">α´) provides additional insight into this behavior. For example, in the SKEPT-based compound without additives, </w:t>
      </w:r>
      <w:proofErr w:type="spellStart"/>
      <w:r w:rsidR="00865ABD" w:rsidRPr="00865ABD">
        <w:rPr>
          <w:sz w:val="20"/>
          <w:szCs w:val="20"/>
          <w:lang w:val="en-US"/>
        </w:rPr>
        <w:t>tg</w:t>
      </w:r>
      <w:proofErr w:type="spellEnd"/>
      <w:r w:rsidR="00865ABD" w:rsidRPr="00865ABD">
        <w:rPr>
          <w:sz w:val="20"/>
          <w:szCs w:val="20"/>
          <w:lang w:val="en-US"/>
        </w:rPr>
        <w:t xml:space="preserve">α´ was –0.640. With the addition of DBP and BRGPR at 2.5 </w:t>
      </w:r>
      <w:proofErr w:type="spellStart"/>
      <w:r w:rsidR="00865ABD" w:rsidRPr="00865ABD">
        <w:rPr>
          <w:sz w:val="20"/>
          <w:szCs w:val="20"/>
          <w:lang w:val="en-US"/>
        </w:rPr>
        <w:t>phr</w:t>
      </w:r>
      <w:proofErr w:type="spellEnd"/>
      <w:r w:rsidR="00865ABD" w:rsidRPr="00865ABD">
        <w:rPr>
          <w:sz w:val="20"/>
          <w:szCs w:val="20"/>
          <w:lang w:val="en-US"/>
        </w:rPr>
        <w:t>, the values shifted to –0.645 and –0.660, respectively. These variations suggest that the observed changes are linked to the differing chemical structures and interaction mechanisms between the elastomer</w:t>
      </w:r>
      <w:r w:rsidR="00865ABD">
        <w:rPr>
          <w:sz w:val="20"/>
          <w:szCs w:val="20"/>
          <w:lang w:val="en-US"/>
        </w:rPr>
        <w:t xml:space="preserve"> matrices and the plasticizers. </w:t>
      </w:r>
      <w:r w:rsidR="00865ABD" w:rsidRPr="00865ABD">
        <w:rPr>
          <w:sz w:val="20"/>
          <w:szCs w:val="20"/>
          <w:lang w:val="en-US"/>
        </w:rPr>
        <w:t xml:space="preserve">The formation and characteristics of the vulcanization network are strongly influenced by the distribution and density of chemical cross-links, along with the average molecular weight and its distribution. In elastomeric systems modified with BRGPR, which serve as </w:t>
      </w:r>
      <w:proofErr w:type="spellStart"/>
      <w:r w:rsidR="00865ABD" w:rsidRPr="00865ABD">
        <w:rPr>
          <w:sz w:val="20"/>
          <w:szCs w:val="20"/>
          <w:lang w:val="en-US"/>
        </w:rPr>
        <w:t>organomineral</w:t>
      </w:r>
      <w:proofErr w:type="spellEnd"/>
      <w:r w:rsidR="00865ABD" w:rsidRPr="00865ABD">
        <w:rPr>
          <w:sz w:val="20"/>
          <w:szCs w:val="20"/>
          <w:lang w:val="en-US"/>
        </w:rPr>
        <w:t xml:space="preserve"> compositions, the vulcanization process demonstrates enhanced sulfur bonding kinetics.</w:t>
      </w:r>
      <w:r w:rsidRPr="000F3145">
        <w:rPr>
          <w:sz w:val="20"/>
          <w:szCs w:val="20"/>
          <w:lang w:val="en-US"/>
        </w:rPr>
        <w:t xml:space="preserve"> </w:t>
      </w:r>
    </w:p>
    <w:p w14:paraId="3D573D10" w14:textId="60BCA5FB" w:rsidR="00AD1CB3" w:rsidRPr="00077F81" w:rsidRDefault="00865ABD" w:rsidP="00077F81">
      <w:pPr>
        <w:pStyle w:val="af3"/>
        <w:spacing w:line="240" w:lineRule="auto"/>
        <w:ind w:left="84" w:right="38" w:firstLine="284"/>
        <w:jc w:val="both"/>
        <w:rPr>
          <w:sz w:val="20"/>
          <w:szCs w:val="20"/>
          <w:lang w:val="en-US"/>
        </w:rPr>
      </w:pPr>
      <w:bookmarkStart w:id="5" w:name="OLE_LINK23"/>
      <w:bookmarkStart w:id="6" w:name="OLE_LINK24"/>
      <w:r w:rsidRPr="00077F81">
        <w:rPr>
          <w:sz w:val="20"/>
          <w:szCs w:val="20"/>
          <w:lang w:val="en-US"/>
        </w:rPr>
        <w:t>The sulfur cross-linking with macromolecular chains, as illustrated in Figure 4, indicates that the development of the vulcanization network proceeds at a relatively high rate</w:t>
      </w:r>
      <w:r w:rsidR="00AD1CB3" w:rsidRPr="00077F81">
        <w:rPr>
          <w:sz w:val="20"/>
          <w:szCs w:val="20"/>
          <w:lang w:val="en-US"/>
        </w:rPr>
        <w:t>.</w:t>
      </w:r>
    </w:p>
    <w:p w14:paraId="046FBD0F" w14:textId="770CB3B6" w:rsidR="00865ABD" w:rsidRDefault="00276A42" w:rsidP="00AD1CB3">
      <w:pPr>
        <w:pStyle w:val="af3"/>
        <w:spacing w:line="240" w:lineRule="auto"/>
        <w:ind w:right="40"/>
        <w:jc w:val="center"/>
        <w:rPr>
          <w:sz w:val="20"/>
          <w:szCs w:val="20"/>
          <w:lang w:val="en-US"/>
        </w:rPr>
      </w:pPr>
      <w:r w:rsidRPr="00987210">
        <w:rPr>
          <w:b/>
          <w:noProof/>
          <w:sz w:val="28"/>
          <w:szCs w:val="28"/>
          <w:lang w:eastAsia="ru-RU"/>
        </w:rPr>
        <w:drawing>
          <wp:inline distT="0" distB="0" distL="0" distR="0" wp14:anchorId="5CB1D74D" wp14:editId="124CA994">
            <wp:extent cx="4823460" cy="205676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823460" cy="2056765"/>
                    </a:xfrm>
                    <a:prstGeom prst="rect">
                      <a:avLst/>
                    </a:prstGeom>
                  </pic:spPr>
                </pic:pic>
              </a:graphicData>
            </a:graphic>
          </wp:inline>
        </w:drawing>
      </w:r>
      <w:r w:rsidR="00D9269C" w:rsidRPr="000F3145">
        <w:rPr>
          <w:sz w:val="20"/>
          <w:szCs w:val="20"/>
          <w:lang w:val="en-US"/>
        </w:rPr>
        <w:t>.</w:t>
      </w:r>
    </w:p>
    <w:bookmarkEnd w:id="5"/>
    <w:bookmarkEnd w:id="6"/>
    <w:p w14:paraId="7F2EB58B" w14:textId="66CC699B" w:rsidR="00701CD3" w:rsidRPr="00276A42" w:rsidRDefault="00AD1CB3" w:rsidP="00077F81">
      <w:pPr>
        <w:pStyle w:val="af3"/>
        <w:spacing w:after="120" w:line="240" w:lineRule="auto"/>
        <w:ind w:left="0"/>
        <w:jc w:val="center"/>
        <w:rPr>
          <w:b/>
          <w:bCs/>
          <w:sz w:val="18"/>
          <w:szCs w:val="18"/>
          <w:lang w:val="en-US"/>
        </w:rPr>
      </w:pPr>
      <w:r w:rsidRPr="00276A42">
        <w:rPr>
          <w:b/>
          <w:bCs/>
          <w:sz w:val="18"/>
          <w:szCs w:val="18"/>
          <w:lang w:val="en-US"/>
        </w:rPr>
        <w:t>FIG</w:t>
      </w:r>
      <w:r>
        <w:rPr>
          <w:b/>
          <w:bCs/>
          <w:sz w:val="18"/>
          <w:szCs w:val="18"/>
          <w:lang w:val="en-US"/>
        </w:rPr>
        <w:t xml:space="preserve">URE </w:t>
      </w:r>
      <w:r w:rsidR="00701CD3">
        <w:rPr>
          <w:b/>
          <w:bCs/>
          <w:sz w:val="18"/>
          <w:szCs w:val="18"/>
          <w:lang w:val="en-US"/>
        </w:rPr>
        <w:t>4</w:t>
      </w:r>
      <w:r w:rsidR="00701CD3" w:rsidRPr="00276A42">
        <w:rPr>
          <w:b/>
          <w:bCs/>
          <w:sz w:val="18"/>
          <w:szCs w:val="18"/>
          <w:lang w:val="en-US"/>
        </w:rPr>
        <w:t xml:space="preserve">. </w:t>
      </w:r>
      <w:r w:rsidR="00701CD3" w:rsidRPr="00276A42">
        <w:rPr>
          <w:bCs/>
          <w:sz w:val="18"/>
          <w:szCs w:val="18"/>
          <w:lang w:val="en-US"/>
        </w:rPr>
        <w:t>Standard recipe - 1, 5 parts by weight - 2 and 10 parts by weight of gas pyrolysis resin bottom residue - 3</w:t>
      </w:r>
    </w:p>
    <w:p w14:paraId="03925085" w14:textId="09A7E5A0" w:rsidR="00276A42" w:rsidRPr="00865ABD" w:rsidRDefault="00865ABD" w:rsidP="00077F81">
      <w:pPr>
        <w:pStyle w:val="30"/>
        <w:suppressAutoHyphens/>
        <w:spacing w:line="240" w:lineRule="auto"/>
        <w:ind w:firstLine="284"/>
        <w:jc w:val="both"/>
        <w:rPr>
          <w:rFonts w:ascii="Times New Roman" w:eastAsia="Times New Roman" w:hAnsi="Times New Roman" w:cs="Times New Roman"/>
          <w:sz w:val="20"/>
          <w:szCs w:val="20"/>
          <w:lang w:val="en-US"/>
        </w:rPr>
      </w:pPr>
      <w:r w:rsidRPr="00865ABD">
        <w:rPr>
          <w:rFonts w:ascii="Times New Roman" w:eastAsia="Times New Roman" w:hAnsi="Times New Roman" w:cs="Times New Roman"/>
          <w:sz w:val="20"/>
          <w:szCs w:val="20"/>
          <w:lang w:val="en-US"/>
        </w:rPr>
        <w:lastRenderedPageBreak/>
        <w:t>Experimental findings indicate that the bottom residue of gas pyrolysis resin enhances the adsorption of sulfur atoms onto the surface of filler particles, which in turn promotes the development of a more robust vulcanization network. This behavior suggests that the residue not only acts as a vulcanization activator but also accelerates the formation of cross-linked structures within the elastomer matrix. Compared to the conventional plasticizer dibutyl phthalate, the pyrolysis resin residue demonstrates superior influence on vulcanization kinetics, particularly under elevated temperature conditions, as illustrated in Table 3.</w:t>
      </w:r>
    </w:p>
    <w:p w14:paraId="6A1A5B78" w14:textId="415F1551" w:rsidR="00276A42" w:rsidRPr="00276A42" w:rsidRDefault="00077F81" w:rsidP="00077F81">
      <w:pPr>
        <w:suppressAutoHyphens/>
        <w:jc w:val="center"/>
        <w:rPr>
          <w:bCs/>
          <w:sz w:val="18"/>
          <w:szCs w:val="18"/>
          <w:lang w:val="en-US"/>
        </w:rPr>
      </w:pPr>
      <w:r w:rsidRPr="00276A42">
        <w:rPr>
          <w:b/>
          <w:sz w:val="18"/>
          <w:szCs w:val="18"/>
          <w:lang w:val="en-US"/>
        </w:rPr>
        <w:t>TABLE</w:t>
      </w:r>
      <w:r w:rsidR="00276A42" w:rsidRPr="00276A42">
        <w:rPr>
          <w:b/>
          <w:sz w:val="18"/>
          <w:szCs w:val="18"/>
          <w:lang w:val="en-US"/>
        </w:rPr>
        <w:t xml:space="preserve"> 3.</w:t>
      </w:r>
      <w:r w:rsidR="00276A42">
        <w:rPr>
          <w:bCs/>
          <w:sz w:val="18"/>
          <w:szCs w:val="18"/>
          <w:lang w:val="en-US"/>
        </w:rPr>
        <w:t xml:space="preserve"> </w:t>
      </w:r>
      <w:r w:rsidR="00276A42" w:rsidRPr="00276A42">
        <w:rPr>
          <w:bCs/>
          <w:sz w:val="18"/>
          <w:szCs w:val="18"/>
          <w:lang w:val="en-US"/>
        </w:rPr>
        <w:t xml:space="preserve">Influence of plasticizers on the structure of the vulcanization network and properties of vulcanizates of </w:t>
      </w:r>
      <w:proofErr w:type="spellStart"/>
      <w:r w:rsidR="00276A42" w:rsidRPr="00276A42">
        <w:rPr>
          <w:bCs/>
          <w:sz w:val="18"/>
          <w:szCs w:val="18"/>
          <w:lang w:val="en-US"/>
        </w:rPr>
        <w:t>organomineral</w:t>
      </w:r>
      <w:proofErr w:type="spellEnd"/>
      <w:r w:rsidR="00276A42" w:rsidRPr="00276A42">
        <w:rPr>
          <w:bCs/>
          <w:sz w:val="18"/>
          <w:szCs w:val="18"/>
          <w:lang w:val="en-US"/>
        </w:rPr>
        <w:t xml:space="preserve"> composition based on SKMS-30ARKM-15 (content 10 parts by weight per 100 parts by weight of rubber)</w:t>
      </w:r>
    </w:p>
    <w:tbl>
      <w:tblPr>
        <w:tblW w:w="5000" w:type="pct"/>
        <w:tblLook w:val="04A0" w:firstRow="1" w:lastRow="0" w:firstColumn="1" w:lastColumn="0" w:noHBand="0" w:noVBand="1"/>
      </w:tblPr>
      <w:tblGrid>
        <w:gridCol w:w="2628"/>
        <w:gridCol w:w="1317"/>
        <w:gridCol w:w="1461"/>
        <w:gridCol w:w="1170"/>
        <w:gridCol w:w="989"/>
        <w:gridCol w:w="817"/>
        <w:gridCol w:w="1257"/>
      </w:tblGrid>
      <w:tr w:rsidR="00276A42" w:rsidRPr="00CA740D" w14:paraId="5D4C3C2B" w14:textId="77777777" w:rsidTr="00077F81">
        <w:tc>
          <w:tcPr>
            <w:tcW w:w="1363" w:type="pct"/>
            <w:vMerge w:val="restart"/>
            <w:tcBorders>
              <w:top w:val="single" w:sz="4" w:space="0" w:color="auto"/>
              <w:bottom w:val="single" w:sz="4" w:space="0" w:color="auto"/>
            </w:tcBorders>
            <w:vAlign w:val="center"/>
            <w:hideMark/>
          </w:tcPr>
          <w:p w14:paraId="70079333" w14:textId="5951AED7" w:rsidR="00276A42" w:rsidRPr="00276A42" w:rsidRDefault="00276A42" w:rsidP="00077F81">
            <w:pPr>
              <w:jc w:val="center"/>
            </w:pPr>
            <w:r w:rsidRPr="00276A42">
              <w:t>Name of Plasticizers</w:t>
            </w:r>
          </w:p>
        </w:tc>
        <w:tc>
          <w:tcPr>
            <w:tcW w:w="2561" w:type="pct"/>
            <w:gridSpan w:val="4"/>
            <w:tcBorders>
              <w:top w:val="single" w:sz="4" w:space="0" w:color="auto"/>
            </w:tcBorders>
            <w:vAlign w:val="center"/>
            <w:hideMark/>
          </w:tcPr>
          <w:p w14:paraId="6DA6F7DF" w14:textId="77777777" w:rsidR="00276A42" w:rsidRPr="00276A42" w:rsidRDefault="00276A42" w:rsidP="00276A42">
            <w:pPr>
              <w:suppressAutoHyphens/>
              <w:jc w:val="center"/>
            </w:pPr>
            <w:r w:rsidRPr="00276A42">
              <w:t>Formed bonds, %</w:t>
            </w:r>
          </w:p>
        </w:tc>
        <w:tc>
          <w:tcPr>
            <w:tcW w:w="424" w:type="pct"/>
            <w:vMerge w:val="restart"/>
            <w:tcBorders>
              <w:top w:val="single" w:sz="4" w:space="0" w:color="auto"/>
              <w:bottom w:val="single" w:sz="4" w:space="0" w:color="auto"/>
            </w:tcBorders>
            <w:vAlign w:val="center"/>
            <w:hideMark/>
          </w:tcPr>
          <w:p w14:paraId="39801907" w14:textId="77777777" w:rsidR="00276A42" w:rsidRPr="00276A42" w:rsidRDefault="00276A42" w:rsidP="00276A42">
            <w:pPr>
              <w:suppressAutoHyphens/>
              <w:jc w:val="center"/>
            </w:pPr>
            <w:r w:rsidRPr="00276A42">
              <w:t>Fp, MPa</w:t>
            </w:r>
          </w:p>
        </w:tc>
        <w:tc>
          <w:tcPr>
            <w:tcW w:w="653" w:type="pct"/>
            <w:vMerge w:val="restart"/>
            <w:tcBorders>
              <w:top w:val="single" w:sz="4" w:space="0" w:color="auto"/>
              <w:bottom w:val="single" w:sz="4" w:space="0" w:color="auto"/>
            </w:tcBorders>
            <w:vAlign w:val="center"/>
            <w:hideMark/>
          </w:tcPr>
          <w:p w14:paraId="024CF47E" w14:textId="77777777" w:rsidR="00276A42" w:rsidRPr="00276A42" w:rsidRDefault="00276A42" w:rsidP="00276A42">
            <w:pPr>
              <w:suppressAutoHyphens/>
              <w:jc w:val="center"/>
            </w:pPr>
            <w:r w:rsidRPr="00276A42">
              <w:rPr>
                <w:lang w:val="en-US"/>
              </w:rPr>
              <w:t>K</w:t>
            </w:r>
            <w:r w:rsidRPr="00276A42">
              <w:rPr>
                <w:vertAlign w:val="subscript"/>
                <w:lang w:val="en-US"/>
              </w:rPr>
              <w:t>T</w:t>
            </w:r>
            <w:r w:rsidRPr="00276A42">
              <w:t>, 373K, 72 hours</w:t>
            </w:r>
          </w:p>
        </w:tc>
      </w:tr>
      <w:tr w:rsidR="00276A42" w:rsidRPr="00CA740D" w14:paraId="62923735" w14:textId="77777777" w:rsidTr="00077F81">
        <w:trPr>
          <w:trHeight w:val="134"/>
        </w:trPr>
        <w:tc>
          <w:tcPr>
            <w:tcW w:w="0" w:type="auto"/>
            <w:vMerge/>
            <w:tcBorders>
              <w:top w:val="single" w:sz="4" w:space="0" w:color="auto"/>
              <w:bottom w:val="single" w:sz="4" w:space="0" w:color="auto"/>
            </w:tcBorders>
            <w:vAlign w:val="center"/>
            <w:hideMark/>
          </w:tcPr>
          <w:p w14:paraId="50AD38E1" w14:textId="77777777" w:rsidR="00276A42" w:rsidRPr="00276A42" w:rsidRDefault="00276A42" w:rsidP="00276A42">
            <w:pPr>
              <w:jc w:val="center"/>
            </w:pPr>
          </w:p>
        </w:tc>
        <w:tc>
          <w:tcPr>
            <w:tcW w:w="683" w:type="pct"/>
            <w:tcBorders>
              <w:bottom w:val="single" w:sz="4" w:space="0" w:color="auto"/>
            </w:tcBorders>
            <w:vAlign w:val="center"/>
            <w:hideMark/>
          </w:tcPr>
          <w:p w14:paraId="206BF8DD" w14:textId="77777777" w:rsidR="00276A42" w:rsidRPr="00276A42" w:rsidRDefault="00276A42" w:rsidP="00276A42">
            <w:pPr>
              <w:suppressAutoHyphens/>
              <w:jc w:val="center"/>
            </w:pPr>
            <w:r w:rsidRPr="00276A42">
              <w:t>-C-S</w:t>
            </w:r>
            <w:r w:rsidRPr="00276A42">
              <w:rPr>
                <w:vertAlign w:val="subscript"/>
              </w:rPr>
              <w:t>x</w:t>
            </w:r>
            <w:r w:rsidRPr="00276A42">
              <w:t>-C-</w:t>
            </w:r>
          </w:p>
        </w:tc>
        <w:tc>
          <w:tcPr>
            <w:tcW w:w="758" w:type="pct"/>
            <w:tcBorders>
              <w:bottom w:val="single" w:sz="4" w:space="0" w:color="auto"/>
            </w:tcBorders>
            <w:vAlign w:val="center"/>
            <w:hideMark/>
          </w:tcPr>
          <w:p w14:paraId="69370A0E" w14:textId="77777777" w:rsidR="00276A42" w:rsidRPr="00276A42" w:rsidRDefault="00276A42" w:rsidP="00276A42">
            <w:pPr>
              <w:suppressAutoHyphens/>
              <w:jc w:val="center"/>
            </w:pPr>
            <w:r w:rsidRPr="00276A42">
              <w:t>-C-S-S-C-</w:t>
            </w:r>
          </w:p>
        </w:tc>
        <w:tc>
          <w:tcPr>
            <w:tcW w:w="607" w:type="pct"/>
            <w:tcBorders>
              <w:bottom w:val="single" w:sz="4" w:space="0" w:color="auto"/>
            </w:tcBorders>
            <w:vAlign w:val="center"/>
            <w:hideMark/>
          </w:tcPr>
          <w:p w14:paraId="7F8997C5" w14:textId="77777777" w:rsidR="00276A42" w:rsidRPr="00276A42" w:rsidRDefault="00276A42" w:rsidP="00276A42">
            <w:pPr>
              <w:suppressAutoHyphens/>
              <w:jc w:val="center"/>
            </w:pPr>
            <w:r w:rsidRPr="00276A42">
              <w:t>-C-S-C-</w:t>
            </w:r>
          </w:p>
        </w:tc>
        <w:tc>
          <w:tcPr>
            <w:tcW w:w="513" w:type="pct"/>
            <w:tcBorders>
              <w:bottom w:val="single" w:sz="4" w:space="0" w:color="auto"/>
            </w:tcBorders>
            <w:vAlign w:val="center"/>
            <w:hideMark/>
          </w:tcPr>
          <w:p w14:paraId="5C9054DB" w14:textId="77777777" w:rsidR="00276A42" w:rsidRPr="00276A42" w:rsidRDefault="00276A42" w:rsidP="00276A42">
            <w:pPr>
              <w:suppressAutoHyphens/>
              <w:jc w:val="center"/>
            </w:pPr>
            <w:r w:rsidRPr="00276A42">
              <w:t>-C-C-</w:t>
            </w:r>
          </w:p>
        </w:tc>
        <w:tc>
          <w:tcPr>
            <w:tcW w:w="0" w:type="auto"/>
            <w:vMerge/>
            <w:tcBorders>
              <w:bottom w:val="single" w:sz="4" w:space="0" w:color="auto"/>
            </w:tcBorders>
            <w:vAlign w:val="center"/>
            <w:hideMark/>
          </w:tcPr>
          <w:p w14:paraId="28142BCE" w14:textId="77777777" w:rsidR="00276A42" w:rsidRPr="00276A42" w:rsidRDefault="00276A42" w:rsidP="00276A42">
            <w:pPr>
              <w:jc w:val="center"/>
            </w:pPr>
          </w:p>
        </w:tc>
        <w:tc>
          <w:tcPr>
            <w:tcW w:w="0" w:type="auto"/>
            <w:vMerge/>
            <w:tcBorders>
              <w:bottom w:val="single" w:sz="4" w:space="0" w:color="auto"/>
            </w:tcBorders>
            <w:vAlign w:val="center"/>
            <w:hideMark/>
          </w:tcPr>
          <w:p w14:paraId="28E133F0" w14:textId="77777777" w:rsidR="00276A42" w:rsidRPr="00276A42" w:rsidRDefault="00276A42" w:rsidP="00276A42">
            <w:pPr>
              <w:jc w:val="center"/>
            </w:pPr>
          </w:p>
        </w:tc>
      </w:tr>
      <w:tr w:rsidR="00276A42" w:rsidRPr="00AC3434" w14:paraId="6978A942" w14:textId="77777777" w:rsidTr="00077F81">
        <w:trPr>
          <w:trHeight w:val="251"/>
        </w:trPr>
        <w:tc>
          <w:tcPr>
            <w:tcW w:w="5000" w:type="pct"/>
            <w:gridSpan w:val="7"/>
            <w:tcBorders>
              <w:bottom w:val="single" w:sz="4" w:space="0" w:color="auto"/>
            </w:tcBorders>
            <w:vAlign w:val="center"/>
            <w:hideMark/>
          </w:tcPr>
          <w:p w14:paraId="1E5CCEDD" w14:textId="77777777" w:rsidR="00276A42" w:rsidRPr="00276A42" w:rsidRDefault="00276A42" w:rsidP="00276A42">
            <w:pPr>
              <w:suppressAutoHyphens/>
              <w:jc w:val="center"/>
              <w:rPr>
                <w:bCs/>
                <w:lang w:val="en-US"/>
              </w:rPr>
            </w:pPr>
            <w:r w:rsidRPr="00276A42">
              <w:rPr>
                <w:bCs/>
                <w:lang w:val="en-US"/>
              </w:rPr>
              <w:t>Vulcanization temperature of the composition based on SKMS-30ARKM-15 is 433K, time is 40 minutes.</w:t>
            </w:r>
          </w:p>
        </w:tc>
      </w:tr>
      <w:tr w:rsidR="00276A42" w:rsidRPr="00CA740D" w14:paraId="441295CD" w14:textId="77777777" w:rsidTr="00077F81">
        <w:tc>
          <w:tcPr>
            <w:tcW w:w="1363" w:type="pct"/>
            <w:tcBorders>
              <w:top w:val="single" w:sz="4" w:space="0" w:color="auto"/>
            </w:tcBorders>
            <w:vAlign w:val="center"/>
            <w:hideMark/>
          </w:tcPr>
          <w:p w14:paraId="550232ED" w14:textId="77777777" w:rsidR="00276A42" w:rsidRPr="00276A42" w:rsidRDefault="00276A42" w:rsidP="00276A42">
            <w:pPr>
              <w:suppressAutoHyphens/>
              <w:jc w:val="center"/>
            </w:pPr>
            <w:r w:rsidRPr="00276A42">
              <w:t>Dibutyl phthalate</w:t>
            </w:r>
          </w:p>
        </w:tc>
        <w:tc>
          <w:tcPr>
            <w:tcW w:w="683" w:type="pct"/>
            <w:tcBorders>
              <w:top w:val="single" w:sz="4" w:space="0" w:color="auto"/>
            </w:tcBorders>
            <w:vAlign w:val="center"/>
            <w:hideMark/>
          </w:tcPr>
          <w:p w14:paraId="506881CB" w14:textId="77777777" w:rsidR="00276A42" w:rsidRPr="00276A42" w:rsidRDefault="00276A42" w:rsidP="00276A42">
            <w:pPr>
              <w:suppressAutoHyphens/>
              <w:jc w:val="center"/>
            </w:pPr>
            <w:r w:rsidRPr="00276A42">
              <w:t>33</w:t>
            </w:r>
          </w:p>
        </w:tc>
        <w:tc>
          <w:tcPr>
            <w:tcW w:w="758" w:type="pct"/>
            <w:tcBorders>
              <w:top w:val="single" w:sz="4" w:space="0" w:color="auto"/>
            </w:tcBorders>
            <w:vAlign w:val="center"/>
            <w:hideMark/>
          </w:tcPr>
          <w:p w14:paraId="54481E77" w14:textId="77777777" w:rsidR="00276A42" w:rsidRPr="00276A42" w:rsidRDefault="00276A42" w:rsidP="00276A42">
            <w:pPr>
              <w:suppressAutoHyphens/>
              <w:jc w:val="center"/>
            </w:pPr>
            <w:r w:rsidRPr="00276A42">
              <w:t>32</w:t>
            </w:r>
          </w:p>
        </w:tc>
        <w:tc>
          <w:tcPr>
            <w:tcW w:w="607" w:type="pct"/>
            <w:tcBorders>
              <w:top w:val="single" w:sz="4" w:space="0" w:color="auto"/>
            </w:tcBorders>
            <w:vAlign w:val="center"/>
            <w:hideMark/>
          </w:tcPr>
          <w:p w14:paraId="6DC58D46" w14:textId="77777777" w:rsidR="00276A42" w:rsidRPr="00276A42" w:rsidRDefault="00276A42" w:rsidP="00276A42">
            <w:pPr>
              <w:suppressAutoHyphens/>
              <w:jc w:val="center"/>
            </w:pPr>
            <w:r w:rsidRPr="00276A42">
              <w:t>22</w:t>
            </w:r>
          </w:p>
        </w:tc>
        <w:tc>
          <w:tcPr>
            <w:tcW w:w="513" w:type="pct"/>
            <w:tcBorders>
              <w:top w:val="single" w:sz="4" w:space="0" w:color="auto"/>
            </w:tcBorders>
            <w:vAlign w:val="center"/>
            <w:hideMark/>
          </w:tcPr>
          <w:p w14:paraId="4EC9B2A9" w14:textId="77777777" w:rsidR="00276A42" w:rsidRPr="00276A42" w:rsidRDefault="00276A42" w:rsidP="00276A42">
            <w:pPr>
              <w:suppressAutoHyphens/>
              <w:jc w:val="center"/>
            </w:pPr>
            <w:r w:rsidRPr="00276A42">
              <w:t>13</w:t>
            </w:r>
          </w:p>
        </w:tc>
        <w:tc>
          <w:tcPr>
            <w:tcW w:w="424" w:type="pct"/>
            <w:tcBorders>
              <w:top w:val="single" w:sz="4" w:space="0" w:color="auto"/>
            </w:tcBorders>
            <w:vAlign w:val="center"/>
            <w:hideMark/>
          </w:tcPr>
          <w:p w14:paraId="2AD7DD87" w14:textId="77777777" w:rsidR="00276A42" w:rsidRPr="00276A42" w:rsidRDefault="00276A42" w:rsidP="00276A42">
            <w:pPr>
              <w:suppressAutoHyphens/>
              <w:jc w:val="center"/>
            </w:pPr>
            <w:r w:rsidRPr="00276A42">
              <w:t>10,6</w:t>
            </w:r>
          </w:p>
        </w:tc>
        <w:tc>
          <w:tcPr>
            <w:tcW w:w="653" w:type="pct"/>
            <w:tcBorders>
              <w:top w:val="single" w:sz="4" w:space="0" w:color="auto"/>
            </w:tcBorders>
            <w:vAlign w:val="center"/>
            <w:hideMark/>
          </w:tcPr>
          <w:p w14:paraId="365A5F9B" w14:textId="77777777" w:rsidR="00276A42" w:rsidRPr="00276A42" w:rsidRDefault="00276A42" w:rsidP="00276A42">
            <w:pPr>
              <w:suppressAutoHyphens/>
              <w:jc w:val="center"/>
            </w:pPr>
            <w:r w:rsidRPr="00276A42">
              <w:t>0,75</w:t>
            </w:r>
          </w:p>
        </w:tc>
      </w:tr>
      <w:tr w:rsidR="00276A42" w:rsidRPr="00CA740D" w14:paraId="19D22F80" w14:textId="77777777" w:rsidTr="00077F81">
        <w:tc>
          <w:tcPr>
            <w:tcW w:w="1363" w:type="pct"/>
            <w:tcBorders>
              <w:bottom w:val="single" w:sz="4" w:space="0" w:color="auto"/>
            </w:tcBorders>
            <w:vAlign w:val="center"/>
            <w:hideMark/>
          </w:tcPr>
          <w:p w14:paraId="1809A0CF" w14:textId="77777777" w:rsidR="00276A42" w:rsidRPr="00276A42" w:rsidRDefault="00276A42" w:rsidP="00276A42">
            <w:pPr>
              <w:suppressAutoHyphens/>
              <w:jc w:val="center"/>
              <w:rPr>
                <w:lang w:val="en-US"/>
              </w:rPr>
            </w:pPr>
            <w:r w:rsidRPr="00276A42">
              <w:rPr>
                <w:lang w:val="en-US"/>
              </w:rPr>
              <w:t>Gas pyrolysis resin bottom residue</w:t>
            </w:r>
          </w:p>
        </w:tc>
        <w:tc>
          <w:tcPr>
            <w:tcW w:w="683" w:type="pct"/>
            <w:tcBorders>
              <w:bottom w:val="single" w:sz="4" w:space="0" w:color="auto"/>
            </w:tcBorders>
            <w:vAlign w:val="center"/>
          </w:tcPr>
          <w:p w14:paraId="446AD5AE" w14:textId="77777777" w:rsidR="00276A42" w:rsidRPr="00276A42" w:rsidRDefault="00276A42" w:rsidP="00276A42">
            <w:pPr>
              <w:suppressAutoHyphens/>
              <w:jc w:val="center"/>
              <w:rPr>
                <w:lang w:val="en-US"/>
              </w:rPr>
            </w:pPr>
          </w:p>
          <w:p w14:paraId="51943BB1" w14:textId="77777777" w:rsidR="00276A42" w:rsidRPr="00276A42" w:rsidRDefault="00276A42" w:rsidP="00276A42">
            <w:pPr>
              <w:suppressAutoHyphens/>
              <w:jc w:val="center"/>
            </w:pPr>
            <w:r w:rsidRPr="00276A42">
              <w:t>20</w:t>
            </w:r>
          </w:p>
        </w:tc>
        <w:tc>
          <w:tcPr>
            <w:tcW w:w="758" w:type="pct"/>
            <w:tcBorders>
              <w:bottom w:val="single" w:sz="4" w:space="0" w:color="auto"/>
            </w:tcBorders>
            <w:vAlign w:val="center"/>
          </w:tcPr>
          <w:p w14:paraId="3EC2DA14" w14:textId="77777777" w:rsidR="00276A42" w:rsidRPr="00276A42" w:rsidRDefault="00276A42" w:rsidP="00276A42">
            <w:pPr>
              <w:suppressAutoHyphens/>
              <w:jc w:val="center"/>
            </w:pPr>
          </w:p>
          <w:p w14:paraId="543516DE" w14:textId="77777777" w:rsidR="00276A42" w:rsidRPr="00276A42" w:rsidRDefault="00276A42" w:rsidP="00276A42">
            <w:pPr>
              <w:suppressAutoHyphens/>
              <w:jc w:val="center"/>
            </w:pPr>
            <w:r w:rsidRPr="00276A42">
              <w:t>26</w:t>
            </w:r>
          </w:p>
        </w:tc>
        <w:tc>
          <w:tcPr>
            <w:tcW w:w="607" w:type="pct"/>
            <w:tcBorders>
              <w:bottom w:val="single" w:sz="4" w:space="0" w:color="auto"/>
            </w:tcBorders>
            <w:vAlign w:val="center"/>
          </w:tcPr>
          <w:p w14:paraId="13BB282E" w14:textId="77777777" w:rsidR="00276A42" w:rsidRPr="00276A42" w:rsidRDefault="00276A42" w:rsidP="00276A42">
            <w:pPr>
              <w:suppressAutoHyphens/>
              <w:jc w:val="center"/>
            </w:pPr>
          </w:p>
          <w:p w14:paraId="0E0124E9" w14:textId="77777777" w:rsidR="00276A42" w:rsidRPr="00276A42" w:rsidRDefault="00276A42" w:rsidP="00276A42">
            <w:pPr>
              <w:suppressAutoHyphens/>
              <w:jc w:val="center"/>
            </w:pPr>
            <w:r w:rsidRPr="00276A42">
              <w:t>22</w:t>
            </w:r>
          </w:p>
        </w:tc>
        <w:tc>
          <w:tcPr>
            <w:tcW w:w="513" w:type="pct"/>
            <w:tcBorders>
              <w:bottom w:val="single" w:sz="4" w:space="0" w:color="auto"/>
            </w:tcBorders>
            <w:vAlign w:val="center"/>
          </w:tcPr>
          <w:p w14:paraId="5CF1BAF6" w14:textId="77777777" w:rsidR="00276A42" w:rsidRPr="00276A42" w:rsidRDefault="00276A42" w:rsidP="00276A42">
            <w:pPr>
              <w:suppressAutoHyphens/>
              <w:jc w:val="center"/>
            </w:pPr>
          </w:p>
          <w:p w14:paraId="409E51AC" w14:textId="77777777" w:rsidR="00276A42" w:rsidRPr="00276A42" w:rsidRDefault="00276A42" w:rsidP="00276A42">
            <w:pPr>
              <w:suppressAutoHyphens/>
              <w:jc w:val="center"/>
            </w:pPr>
            <w:r w:rsidRPr="00276A42">
              <w:t>32</w:t>
            </w:r>
          </w:p>
        </w:tc>
        <w:tc>
          <w:tcPr>
            <w:tcW w:w="424" w:type="pct"/>
            <w:tcBorders>
              <w:bottom w:val="single" w:sz="4" w:space="0" w:color="auto"/>
            </w:tcBorders>
            <w:vAlign w:val="center"/>
          </w:tcPr>
          <w:p w14:paraId="14B01951" w14:textId="77777777" w:rsidR="00276A42" w:rsidRPr="00276A42" w:rsidRDefault="00276A42" w:rsidP="00276A42">
            <w:pPr>
              <w:suppressAutoHyphens/>
              <w:jc w:val="center"/>
            </w:pPr>
          </w:p>
          <w:p w14:paraId="42C7E622" w14:textId="77777777" w:rsidR="00276A42" w:rsidRPr="00276A42" w:rsidRDefault="00276A42" w:rsidP="00276A42">
            <w:pPr>
              <w:suppressAutoHyphens/>
              <w:jc w:val="center"/>
            </w:pPr>
            <w:r w:rsidRPr="00276A42">
              <w:t>14,8</w:t>
            </w:r>
          </w:p>
        </w:tc>
        <w:tc>
          <w:tcPr>
            <w:tcW w:w="653" w:type="pct"/>
            <w:tcBorders>
              <w:bottom w:val="single" w:sz="4" w:space="0" w:color="auto"/>
            </w:tcBorders>
            <w:vAlign w:val="center"/>
          </w:tcPr>
          <w:p w14:paraId="09D4788D" w14:textId="77777777" w:rsidR="00276A42" w:rsidRPr="00276A42" w:rsidRDefault="00276A42" w:rsidP="00276A42">
            <w:pPr>
              <w:suppressAutoHyphens/>
              <w:jc w:val="center"/>
            </w:pPr>
          </w:p>
          <w:p w14:paraId="372176AA" w14:textId="77777777" w:rsidR="00276A42" w:rsidRPr="00276A42" w:rsidRDefault="00276A42" w:rsidP="00276A42">
            <w:pPr>
              <w:suppressAutoHyphens/>
              <w:jc w:val="center"/>
            </w:pPr>
            <w:r w:rsidRPr="00276A42">
              <w:t>0,94</w:t>
            </w:r>
          </w:p>
        </w:tc>
      </w:tr>
    </w:tbl>
    <w:p w14:paraId="3AD6C2DB" w14:textId="77777777" w:rsidR="00276A42" w:rsidRPr="00CA740D" w:rsidRDefault="00276A42" w:rsidP="00077F81">
      <w:pPr>
        <w:suppressAutoHyphens/>
        <w:spacing w:before="120"/>
        <w:ind w:firstLine="284"/>
        <w:jc w:val="both"/>
        <w:rPr>
          <w:lang w:val="en-US"/>
        </w:rPr>
      </w:pPr>
      <w:r w:rsidRPr="00CA740D">
        <w:rPr>
          <w:lang w:val="en-US"/>
        </w:rPr>
        <w:t>As a result, it was found that elastomeric compositions plasticized with cubic residue of gas pyrolysis resin have a great influence on the type, character, and number of cross-links formed during vulcanization, and vulcanizates with higher strength and coefficient of thermal wear were obtained compared to the composition plasticized with dibutyl phthalate plasticizer.</w:t>
      </w:r>
    </w:p>
    <w:p w14:paraId="41D6AEA1" w14:textId="6720C183" w:rsidR="00865ABD" w:rsidRPr="00865ABD" w:rsidRDefault="00865ABD" w:rsidP="00077F81">
      <w:pPr>
        <w:pStyle w:val="af3"/>
        <w:spacing w:line="240" w:lineRule="auto"/>
        <w:ind w:left="0" w:firstLine="284"/>
        <w:jc w:val="both"/>
        <w:rPr>
          <w:rFonts w:eastAsiaTheme="minorHAnsi" w:cstheme="minorBidi"/>
          <w:sz w:val="20"/>
          <w:szCs w:val="20"/>
          <w:lang w:val="en-US"/>
        </w:rPr>
      </w:pPr>
      <w:r w:rsidRPr="00865ABD">
        <w:rPr>
          <w:rFonts w:eastAsiaTheme="minorHAnsi" w:cstheme="minorBidi"/>
          <w:sz w:val="20"/>
          <w:szCs w:val="20"/>
          <w:lang w:val="en-US"/>
        </w:rPr>
        <w:t xml:space="preserve">The findings suggest that the bottom residue of gas pyrolysis resin plays a critical role in shaping the structural and performance characteristics of elastomeric composite materials. This effect is likely due to donor–acceptor interactions that occur during the suppression of thermo-oxidative and photochemical degradation processes. When assessing the thermal aging behavior of composites plasticized with this residue, a time-dependent enhancement in tensile strength was observed—surpassing that of samples stabilized with </w:t>
      </w:r>
      <w:proofErr w:type="spellStart"/>
      <w:r w:rsidRPr="00865ABD">
        <w:rPr>
          <w:rFonts w:eastAsiaTheme="minorHAnsi" w:cstheme="minorBidi"/>
          <w:sz w:val="20"/>
          <w:szCs w:val="20"/>
          <w:lang w:val="en-US"/>
        </w:rPr>
        <w:t>Neozone</w:t>
      </w:r>
      <w:proofErr w:type="spellEnd"/>
      <w:r w:rsidRPr="00865ABD">
        <w:rPr>
          <w:rFonts w:eastAsiaTheme="minorHAnsi" w:cstheme="minorBidi"/>
          <w:sz w:val="20"/>
          <w:szCs w:val="20"/>
          <w:lang w:val="en-US"/>
        </w:rPr>
        <w:t>-D. Concurrently, a slight decline in elongation at break and an increase in both hardness and –C–C– bond content within the vulcanization network were recorded [17, 18]. These outcomes support the conclusion that the active compounds in the gas pyrolysis residue promote additional structural development in the composite under the influe</w:t>
      </w:r>
      <w:r>
        <w:rPr>
          <w:rFonts w:eastAsiaTheme="minorHAnsi" w:cstheme="minorBidi"/>
          <w:sz w:val="20"/>
          <w:szCs w:val="20"/>
          <w:lang w:val="en-US"/>
        </w:rPr>
        <w:t>nce of prolonged heat exposure.</w:t>
      </w:r>
    </w:p>
    <w:p w14:paraId="3DA8E5DA" w14:textId="63F628FC" w:rsidR="00276A42" w:rsidRDefault="00865ABD" w:rsidP="00077F81">
      <w:pPr>
        <w:pStyle w:val="af3"/>
        <w:spacing w:line="240" w:lineRule="auto"/>
        <w:ind w:left="0" w:firstLine="284"/>
        <w:jc w:val="both"/>
        <w:rPr>
          <w:sz w:val="20"/>
          <w:szCs w:val="20"/>
          <w:lang w:val="en-US"/>
        </w:rPr>
      </w:pPr>
      <w:r w:rsidRPr="00865ABD">
        <w:rPr>
          <w:rFonts w:eastAsiaTheme="minorHAnsi" w:cstheme="minorBidi"/>
          <w:sz w:val="20"/>
          <w:szCs w:val="20"/>
          <w:lang w:val="en-US"/>
        </w:rPr>
        <w:t>In further evaluations, rubber mixtures formulated with SKI-3 and SKEPT showed a notable decrease in the time required to achieve optimal vulcanization when plasticized with either DBP or BRGPR, as compared to mixtures lacking any plasticizers. In contrast, SKMS-30ARKM-15-based formulations did not exhibit a significant change in vulcanization time relative to the control sample. Nonetheless, the incorporation of BRGPR did lead to a slight improvement in the vulcanization rate under those conditions.</w:t>
      </w:r>
    </w:p>
    <w:p w14:paraId="382226BE" w14:textId="0E67DD79" w:rsidR="00276A42" w:rsidRDefault="00077F81" w:rsidP="00077F81">
      <w:pPr>
        <w:pStyle w:val="af3"/>
        <w:spacing w:before="240" w:after="240" w:line="240" w:lineRule="auto"/>
        <w:ind w:left="0"/>
        <w:jc w:val="center"/>
        <w:rPr>
          <w:b/>
          <w:bCs/>
          <w:sz w:val="28"/>
          <w:szCs w:val="28"/>
          <w:lang w:val="en-US"/>
        </w:rPr>
      </w:pPr>
      <w:r w:rsidRPr="00CA740D">
        <w:rPr>
          <w:b/>
          <w:bCs/>
          <w:sz w:val="24"/>
          <w:szCs w:val="24"/>
          <w:lang w:val="en-US"/>
        </w:rPr>
        <w:t>CONCLUSION</w:t>
      </w:r>
    </w:p>
    <w:p w14:paraId="09E3B121" w14:textId="0AA7E1AD" w:rsidR="00865ABD" w:rsidRPr="00865ABD" w:rsidRDefault="00865ABD" w:rsidP="00077F81">
      <w:pPr>
        <w:pStyle w:val="af3"/>
        <w:spacing w:line="240" w:lineRule="auto"/>
        <w:ind w:left="0" w:firstLine="284"/>
        <w:jc w:val="both"/>
        <w:rPr>
          <w:sz w:val="20"/>
          <w:szCs w:val="20"/>
          <w:lang w:val="en-US"/>
        </w:rPr>
      </w:pPr>
      <w:r w:rsidRPr="00865ABD">
        <w:rPr>
          <w:sz w:val="20"/>
          <w:szCs w:val="20"/>
          <w:lang w:val="en-US"/>
        </w:rPr>
        <w:t xml:space="preserve">In summary, the investigation of </w:t>
      </w:r>
      <w:proofErr w:type="spellStart"/>
      <w:r w:rsidRPr="00865ABD">
        <w:rPr>
          <w:sz w:val="20"/>
          <w:szCs w:val="20"/>
          <w:lang w:val="en-US"/>
        </w:rPr>
        <w:t>plasto</w:t>
      </w:r>
      <w:proofErr w:type="spellEnd"/>
      <w:r w:rsidRPr="00865ABD">
        <w:rPr>
          <w:sz w:val="20"/>
          <w:szCs w:val="20"/>
          <w:lang w:val="en-US"/>
        </w:rPr>
        <w:t>-elastic behavior in unfilled elastomeric formulations based on SKMS-30ARKM-15, SKI-3, and SKEPT revealed that the incorporation of BRGPR results in Mooney viscosity trends comparable to those observed with conventional industrial plasticizers. Across all tested systems, the viscosity profile remained consistent in terms of red</w:t>
      </w:r>
      <w:r>
        <w:rPr>
          <w:sz w:val="20"/>
          <w:szCs w:val="20"/>
          <w:lang w:val="en-US"/>
        </w:rPr>
        <w:t>uction and processing dynamics.</w:t>
      </w:r>
    </w:p>
    <w:p w14:paraId="30365DA3" w14:textId="7F0EFC47" w:rsidR="00276A42" w:rsidRDefault="00865ABD" w:rsidP="00077F81">
      <w:pPr>
        <w:pStyle w:val="af3"/>
        <w:spacing w:line="240" w:lineRule="auto"/>
        <w:ind w:left="0" w:firstLine="284"/>
        <w:jc w:val="both"/>
        <w:rPr>
          <w:sz w:val="20"/>
          <w:szCs w:val="20"/>
          <w:lang w:val="en-US"/>
        </w:rPr>
      </w:pPr>
      <w:r w:rsidRPr="00865ABD">
        <w:rPr>
          <w:sz w:val="20"/>
          <w:szCs w:val="20"/>
          <w:lang w:val="en-US"/>
        </w:rPr>
        <w:t>Moreover, the use of BRGPR was shown to notably enhance stress relaxation within the elastomeric matrix, exceeding the effectiveness of traditional plasticizers. This improvement indicates a more favorable viscoelastic response under processing conditions. Additionally, the presence of BRGPR was associated with a modest decrease in the time required to achieve optimal vulcanization, further supporting its efficacy as a functional plasticizing additive in elastomer technology.</w:t>
      </w:r>
    </w:p>
    <w:p w14:paraId="6AE820AB" w14:textId="7ED7CAC1" w:rsidR="00E2789E" w:rsidRPr="00276A42" w:rsidRDefault="00077F81" w:rsidP="00077F81">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lang w:val="en-US"/>
        </w:rPr>
      </w:pPr>
      <w:r w:rsidRPr="0042530D">
        <w:rPr>
          <w:rFonts w:eastAsia="Times"/>
          <w:b/>
          <w:sz w:val="24"/>
          <w:szCs w:val="24"/>
        </w:rPr>
        <w:t>REFERENCES</w:t>
      </w:r>
    </w:p>
    <w:p w14:paraId="1BFA2626" w14:textId="71DB82BF"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E. </w:t>
      </w:r>
      <w:proofErr w:type="spellStart"/>
      <w:r w:rsidRPr="00077F81">
        <w:rPr>
          <w:sz w:val="20"/>
          <w:szCs w:val="20"/>
          <w:lang w:val="en-US"/>
        </w:rPr>
        <w:t>Kornev</w:t>
      </w:r>
      <w:proofErr w:type="spellEnd"/>
      <w:r w:rsidRPr="00077F81">
        <w:rPr>
          <w:sz w:val="20"/>
          <w:szCs w:val="20"/>
          <w:lang w:val="en-US"/>
        </w:rPr>
        <w:t xml:space="preserve">, </w:t>
      </w:r>
      <w:proofErr w:type="spellStart"/>
      <w:r w:rsidRPr="00077F81">
        <w:rPr>
          <w:rStyle w:val="af5"/>
          <w:sz w:val="20"/>
          <w:szCs w:val="20"/>
          <w:lang w:val="en-US"/>
        </w:rPr>
        <w:t>Tekhnologiya</w:t>
      </w:r>
      <w:proofErr w:type="spellEnd"/>
      <w:r w:rsidRPr="00077F81">
        <w:rPr>
          <w:rStyle w:val="af5"/>
          <w:sz w:val="20"/>
          <w:szCs w:val="20"/>
          <w:lang w:val="en-US"/>
        </w:rPr>
        <w:t xml:space="preserve"> </w:t>
      </w:r>
      <w:proofErr w:type="spellStart"/>
      <w:r w:rsidRPr="00077F81">
        <w:rPr>
          <w:rStyle w:val="af5"/>
          <w:sz w:val="20"/>
          <w:szCs w:val="20"/>
          <w:lang w:val="en-US"/>
        </w:rPr>
        <w:t>elastomernykh</w:t>
      </w:r>
      <w:proofErr w:type="spellEnd"/>
      <w:r w:rsidRPr="00077F81">
        <w:rPr>
          <w:rStyle w:val="af5"/>
          <w:sz w:val="20"/>
          <w:szCs w:val="20"/>
          <w:lang w:val="en-US"/>
        </w:rPr>
        <w:t xml:space="preserve"> </w:t>
      </w:r>
      <w:proofErr w:type="spellStart"/>
      <w:r w:rsidRPr="00077F81">
        <w:rPr>
          <w:rStyle w:val="af5"/>
          <w:sz w:val="20"/>
          <w:szCs w:val="20"/>
          <w:lang w:val="en-US"/>
        </w:rPr>
        <w:t>materialov</w:t>
      </w:r>
      <w:proofErr w:type="spellEnd"/>
      <w:r w:rsidRPr="00077F81">
        <w:rPr>
          <w:rStyle w:val="af5"/>
          <w:sz w:val="20"/>
          <w:szCs w:val="20"/>
          <w:lang w:val="en-US"/>
        </w:rPr>
        <w:t xml:space="preserve">: </w:t>
      </w:r>
      <w:proofErr w:type="spellStart"/>
      <w:r w:rsidRPr="00077F81">
        <w:rPr>
          <w:rStyle w:val="af5"/>
          <w:sz w:val="20"/>
          <w:szCs w:val="20"/>
          <w:lang w:val="en-US"/>
        </w:rPr>
        <w:t>uchebnik</w:t>
      </w:r>
      <w:proofErr w:type="spellEnd"/>
      <w:r w:rsidRPr="00077F81">
        <w:rPr>
          <w:sz w:val="20"/>
          <w:szCs w:val="20"/>
          <w:lang w:val="en-US"/>
        </w:rPr>
        <w:t xml:space="preserve"> (ISTEK, Moskva, 2009), 502 p.</w:t>
      </w:r>
    </w:p>
    <w:p w14:paraId="66963F58" w14:textId="3E320E4C"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A. A. </w:t>
      </w:r>
      <w:proofErr w:type="spellStart"/>
      <w:r w:rsidRPr="00077F81">
        <w:rPr>
          <w:sz w:val="20"/>
          <w:szCs w:val="20"/>
          <w:lang w:val="en-US"/>
        </w:rPr>
        <w:t>Dontsov</w:t>
      </w:r>
      <w:proofErr w:type="spellEnd"/>
      <w:r w:rsidRPr="00077F81">
        <w:rPr>
          <w:sz w:val="20"/>
          <w:szCs w:val="20"/>
          <w:lang w:val="en-US"/>
        </w:rPr>
        <w:t xml:space="preserve">, </w:t>
      </w:r>
      <w:proofErr w:type="spellStart"/>
      <w:r w:rsidRPr="00077F81">
        <w:rPr>
          <w:rStyle w:val="af5"/>
          <w:sz w:val="20"/>
          <w:szCs w:val="20"/>
          <w:lang w:val="en-US"/>
        </w:rPr>
        <w:t>Protsessy</w:t>
      </w:r>
      <w:proofErr w:type="spellEnd"/>
      <w:r w:rsidRPr="00077F81">
        <w:rPr>
          <w:rStyle w:val="af5"/>
          <w:sz w:val="20"/>
          <w:szCs w:val="20"/>
          <w:lang w:val="en-US"/>
        </w:rPr>
        <w:t xml:space="preserve"> </w:t>
      </w:r>
      <w:proofErr w:type="spellStart"/>
      <w:r w:rsidRPr="00077F81">
        <w:rPr>
          <w:rStyle w:val="af5"/>
          <w:sz w:val="20"/>
          <w:szCs w:val="20"/>
          <w:lang w:val="en-US"/>
        </w:rPr>
        <w:t>strukturirovaniya</w:t>
      </w:r>
      <w:proofErr w:type="spellEnd"/>
      <w:r w:rsidRPr="00077F81">
        <w:rPr>
          <w:rStyle w:val="af5"/>
          <w:sz w:val="20"/>
          <w:szCs w:val="20"/>
          <w:lang w:val="en-US"/>
        </w:rPr>
        <w:t xml:space="preserve"> </w:t>
      </w:r>
      <w:proofErr w:type="spellStart"/>
      <w:r w:rsidRPr="00077F81">
        <w:rPr>
          <w:rStyle w:val="af5"/>
          <w:sz w:val="20"/>
          <w:szCs w:val="20"/>
          <w:lang w:val="en-US"/>
        </w:rPr>
        <w:t>elastomerov</w:t>
      </w:r>
      <w:proofErr w:type="spellEnd"/>
      <w:r w:rsidRPr="00077F81">
        <w:rPr>
          <w:sz w:val="20"/>
          <w:szCs w:val="20"/>
          <w:lang w:val="en-US"/>
        </w:rPr>
        <w:t xml:space="preserve"> (</w:t>
      </w:r>
      <w:proofErr w:type="spellStart"/>
      <w:r w:rsidRPr="00077F81">
        <w:rPr>
          <w:sz w:val="20"/>
          <w:szCs w:val="20"/>
          <w:lang w:val="en-US"/>
        </w:rPr>
        <w:t>Khimiya</w:t>
      </w:r>
      <w:proofErr w:type="spellEnd"/>
      <w:r w:rsidRPr="00077F81">
        <w:rPr>
          <w:sz w:val="20"/>
          <w:szCs w:val="20"/>
          <w:lang w:val="en-US"/>
        </w:rPr>
        <w:t>, Moskva, 1978), 287 p.</w:t>
      </w:r>
    </w:p>
    <w:p w14:paraId="2D08EE02" w14:textId="6EC70B89"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M. E. </w:t>
      </w:r>
      <w:proofErr w:type="spellStart"/>
      <w:r w:rsidRPr="00077F81">
        <w:rPr>
          <w:sz w:val="20"/>
          <w:szCs w:val="20"/>
          <w:lang w:val="en-US"/>
        </w:rPr>
        <w:t>Solov’ev</w:t>
      </w:r>
      <w:proofErr w:type="spellEnd"/>
      <w:r w:rsidRPr="00077F81">
        <w:rPr>
          <w:sz w:val="20"/>
          <w:szCs w:val="20"/>
          <w:lang w:val="en-US"/>
        </w:rPr>
        <w:t xml:space="preserve"> and N. D. </w:t>
      </w:r>
      <w:proofErr w:type="spellStart"/>
      <w:r w:rsidRPr="00077F81">
        <w:rPr>
          <w:sz w:val="20"/>
          <w:szCs w:val="20"/>
          <w:lang w:val="en-US"/>
        </w:rPr>
        <w:t>Zakharov</w:t>
      </w:r>
      <w:proofErr w:type="spellEnd"/>
      <w:r w:rsidRPr="00077F81">
        <w:rPr>
          <w:sz w:val="20"/>
          <w:szCs w:val="20"/>
          <w:lang w:val="en-US"/>
        </w:rPr>
        <w:t xml:space="preserve">, </w:t>
      </w:r>
      <w:proofErr w:type="spellStart"/>
      <w:r w:rsidRPr="00077F81">
        <w:rPr>
          <w:rStyle w:val="af5"/>
          <w:sz w:val="20"/>
          <w:szCs w:val="20"/>
          <w:lang w:val="en-US"/>
        </w:rPr>
        <w:t>Optimizatsiya</w:t>
      </w:r>
      <w:proofErr w:type="spellEnd"/>
      <w:r w:rsidRPr="00077F81">
        <w:rPr>
          <w:rStyle w:val="af5"/>
          <w:sz w:val="20"/>
          <w:szCs w:val="20"/>
          <w:lang w:val="en-US"/>
        </w:rPr>
        <w:t xml:space="preserve"> </w:t>
      </w:r>
      <w:proofErr w:type="spellStart"/>
      <w:r w:rsidRPr="00077F81">
        <w:rPr>
          <w:rStyle w:val="af5"/>
          <w:sz w:val="20"/>
          <w:szCs w:val="20"/>
          <w:lang w:val="en-US"/>
        </w:rPr>
        <w:t>fiziko-khimicheskikh</w:t>
      </w:r>
      <w:proofErr w:type="spellEnd"/>
      <w:r w:rsidRPr="00077F81">
        <w:rPr>
          <w:rStyle w:val="af5"/>
          <w:sz w:val="20"/>
          <w:szCs w:val="20"/>
          <w:lang w:val="en-US"/>
        </w:rPr>
        <w:t xml:space="preserve"> </w:t>
      </w:r>
      <w:proofErr w:type="spellStart"/>
      <w:r w:rsidRPr="00077F81">
        <w:rPr>
          <w:rStyle w:val="af5"/>
          <w:sz w:val="20"/>
          <w:szCs w:val="20"/>
          <w:lang w:val="en-US"/>
        </w:rPr>
        <w:t>eksperimentov</w:t>
      </w:r>
      <w:proofErr w:type="spellEnd"/>
      <w:r w:rsidRPr="00077F81">
        <w:rPr>
          <w:rStyle w:val="af5"/>
          <w:sz w:val="20"/>
          <w:szCs w:val="20"/>
          <w:lang w:val="en-US"/>
        </w:rPr>
        <w:t xml:space="preserve"> </w:t>
      </w:r>
      <w:proofErr w:type="spellStart"/>
      <w:r w:rsidRPr="00077F81">
        <w:rPr>
          <w:rStyle w:val="af5"/>
          <w:sz w:val="20"/>
          <w:szCs w:val="20"/>
          <w:lang w:val="en-US"/>
        </w:rPr>
        <w:t>modifitsirovannogo</w:t>
      </w:r>
      <w:proofErr w:type="spellEnd"/>
      <w:r w:rsidRPr="00077F81">
        <w:rPr>
          <w:rStyle w:val="af5"/>
          <w:sz w:val="20"/>
          <w:szCs w:val="20"/>
          <w:lang w:val="en-US"/>
        </w:rPr>
        <w:t xml:space="preserve"> </w:t>
      </w:r>
      <w:proofErr w:type="spellStart"/>
      <w:r w:rsidRPr="00077F81">
        <w:rPr>
          <w:rStyle w:val="af5"/>
          <w:sz w:val="20"/>
          <w:szCs w:val="20"/>
          <w:lang w:val="en-US"/>
        </w:rPr>
        <w:t>izmelchennogo</w:t>
      </w:r>
      <w:proofErr w:type="spellEnd"/>
      <w:r w:rsidRPr="00077F81">
        <w:rPr>
          <w:rStyle w:val="af5"/>
          <w:sz w:val="20"/>
          <w:szCs w:val="20"/>
          <w:lang w:val="en-US"/>
        </w:rPr>
        <w:t xml:space="preserve"> </w:t>
      </w:r>
      <w:proofErr w:type="spellStart"/>
      <w:r w:rsidRPr="00077F81">
        <w:rPr>
          <w:rStyle w:val="af5"/>
          <w:sz w:val="20"/>
          <w:szCs w:val="20"/>
          <w:lang w:val="en-US"/>
        </w:rPr>
        <w:t>vulkanizata</w:t>
      </w:r>
      <w:proofErr w:type="spellEnd"/>
      <w:r w:rsidRPr="00077F81">
        <w:rPr>
          <w:sz w:val="20"/>
          <w:szCs w:val="20"/>
          <w:lang w:val="en-US"/>
        </w:rPr>
        <w:t xml:space="preserve">, </w:t>
      </w:r>
      <w:proofErr w:type="spellStart"/>
      <w:r w:rsidRPr="00077F81">
        <w:rPr>
          <w:rStyle w:val="af5"/>
          <w:sz w:val="20"/>
          <w:szCs w:val="20"/>
          <w:lang w:val="en-US"/>
        </w:rPr>
        <w:t>Kauchuk</w:t>
      </w:r>
      <w:proofErr w:type="spellEnd"/>
      <w:r w:rsidRPr="00077F81">
        <w:rPr>
          <w:rStyle w:val="af5"/>
          <w:sz w:val="20"/>
          <w:szCs w:val="20"/>
          <w:lang w:val="en-US"/>
        </w:rPr>
        <w:t xml:space="preserve"> </w:t>
      </w:r>
      <w:proofErr w:type="spellStart"/>
      <w:r w:rsidRPr="00077F81">
        <w:rPr>
          <w:rStyle w:val="af5"/>
          <w:sz w:val="20"/>
          <w:szCs w:val="20"/>
          <w:lang w:val="en-US"/>
        </w:rPr>
        <w:t>i</w:t>
      </w:r>
      <w:proofErr w:type="spellEnd"/>
      <w:r w:rsidRPr="00077F81">
        <w:rPr>
          <w:rStyle w:val="af5"/>
          <w:sz w:val="20"/>
          <w:szCs w:val="20"/>
          <w:lang w:val="en-US"/>
        </w:rPr>
        <w:t xml:space="preserve"> </w:t>
      </w:r>
      <w:proofErr w:type="spellStart"/>
      <w:r w:rsidRPr="00077F81">
        <w:rPr>
          <w:rStyle w:val="af5"/>
          <w:sz w:val="20"/>
          <w:szCs w:val="20"/>
          <w:lang w:val="en-US"/>
        </w:rPr>
        <w:t>rezina</w:t>
      </w:r>
      <w:proofErr w:type="spellEnd"/>
      <w:r w:rsidRPr="00077F81">
        <w:rPr>
          <w:sz w:val="20"/>
          <w:szCs w:val="20"/>
          <w:lang w:val="en-US"/>
        </w:rPr>
        <w:t xml:space="preserve"> </w:t>
      </w:r>
      <w:r w:rsidRPr="00077F81">
        <w:rPr>
          <w:rStyle w:val="a9"/>
          <w:sz w:val="20"/>
          <w:szCs w:val="20"/>
          <w:lang w:val="en-US"/>
        </w:rPr>
        <w:t>8</w:t>
      </w:r>
      <w:r w:rsidRPr="00077F81">
        <w:rPr>
          <w:sz w:val="20"/>
          <w:szCs w:val="20"/>
          <w:lang w:val="en-US"/>
        </w:rPr>
        <w:t>, 9–10 (1984).</w:t>
      </w:r>
    </w:p>
    <w:p w14:paraId="4A9F90CD" w14:textId="16B3CD4E"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E. M. </w:t>
      </w:r>
      <w:proofErr w:type="spellStart"/>
      <w:r w:rsidRPr="00077F81">
        <w:rPr>
          <w:sz w:val="20"/>
          <w:szCs w:val="20"/>
          <w:lang w:val="en-US"/>
        </w:rPr>
        <w:t>Ginting</w:t>
      </w:r>
      <w:proofErr w:type="spellEnd"/>
      <w:r w:rsidRPr="00077F81">
        <w:rPr>
          <w:sz w:val="20"/>
          <w:szCs w:val="20"/>
          <w:lang w:val="en-US"/>
        </w:rPr>
        <w:t xml:space="preserve">, N. Bukit, D. </w:t>
      </w:r>
      <w:proofErr w:type="spellStart"/>
      <w:r w:rsidRPr="00077F81">
        <w:rPr>
          <w:sz w:val="20"/>
          <w:szCs w:val="20"/>
          <w:lang w:val="en-US"/>
        </w:rPr>
        <w:t>Gultom</w:t>
      </w:r>
      <w:proofErr w:type="spellEnd"/>
      <w:r w:rsidRPr="00077F81">
        <w:rPr>
          <w:sz w:val="20"/>
          <w:szCs w:val="20"/>
          <w:lang w:val="en-US"/>
        </w:rPr>
        <w:t xml:space="preserve">, E. Frida, and B. F. Bukit, </w:t>
      </w:r>
      <w:r w:rsidRPr="00077F81">
        <w:rPr>
          <w:rStyle w:val="af5"/>
          <w:sz w:val="20"/>
          <w:szCs w:val="20"/>
          <w:lang w:val="en-US"/>
        </w:rPr>
        <w:t>Preparation and characterization of oil palm empty bunches powder as a filler of polypropylene-natural rubber</w:t>
      </w:r>
      <w:r w:rsidRPr="00077F81">
        <w:rPr>
          <w:sz w:val="20"/>
          <w:szCs w:val="20"/>
          <w:lang w:val="en-US"/>
        </w:rPr>
        <w:t xml:space="preserve">, </w:t>
      </w:r>
      <w:r w:rsidRPr="00077F81">
        <w:rPr>
          <w:rStyle w:val="af5"/>
          <w:sz w:val="20"/>
          <w:szCs w:val="20"/>
          <w:lang w:val="en-US"/>
        </w:rPr>
        <w:t>Int. J. Civ. Eng. Technol.</w:t>
      </w:r>
      <w:r w:rsidRPr="00077F81">
        <w:rPr>
          <w:sz w:val="20"/>
          <w:szCs w:val="20"/>
          <w:lang w:val="en-US"/>
        </w:rPr>
        <w:t xml:space="preserve"> </w:t>
      </w:r>
      <w:r w:rsidRPr="00077F81">
        <w:rPr>
          <w:rStyle w:val="a9"/>
          <w:sz w:val="20"/>
          <w:szCs w:val="20"/>
          <w:lang w:val="en-US"/>
        </w:rPr>
        <w:t>10</w:t>
      </w:r>
      <w:r w:rsidRPr="00077F81">
        <w:rPr>
          <w:sz w:val="20"/>
          <w:szCs w:val="20"/>
          <w:lang w:val="en-US"/>
        </w:rPr>
        <w:t>(6), 453–464 (2019).</w:t>
      </w:r>
    </w:p>
    <w:p w14:paraId="6682ECA6" w14:textId="377A47A5"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V. A. </w:t>
      </w:r>
      <w:proofErr w:type="spellStart"/>
      <w:r w:rsidRPr="00077F81">
        <w:rPr>
          <w:sz w:val="20"/>
          <w:szCs w:val="20"/>
          <w:lang w:val="en-US"/>
        </w:rPr>
        <w:t>Shershnev</w:t>
      </w:r>
      <w:proofErr w:type="spellEnd"/>
      <w:r w:rsidRPr="00077F81">
        <w:rPr>
          <w:sz w:val="20"/>
          <w:szCs w:val="20"/>
          <w:lang w:val="en-US"/>
        </w:rPr>
        <w:t xml:space="preserve">, </w:t>
      </w:r>
      <w:r w:rsidRPr="00077F81">
        <w:rPr>
          <w:rStyle w:val="af5"/>
          <w:sz w:val="20"/>
          <w:szCs w:val="20"/>
          <w:lang w:val="en-US"/>
        </w:rPr>
        <w:t>Development of concepts regarding the role of activators in sulfur vulcanization of hydrocarbon elastomers</w:t>
      </w:r>
      <w:r w:rsidRPr="00077F81">
        <w:rPr>
          <w:sz w:val="20"/>
          <w:szCs w:val="20"/>
          <w:lang w:val="en-US"/>
        </w:rPr>
        <w:t xml:space="preserve">, </w:t>
      </w:r>
      <w:proofErr w:type="spellStart"/>
      <w:r w:rsidRPr="00077F81">
        <w:rPr>
          <w:rStyle w:val="af5"/>
          <w:sz w:val="20"/>
          <w:szCs w:val="20"/>
          <w:lang w:val="en-US"/>
        </w:rPr>
        <w:t>Kauchuk</w:t>
      </w:r>
      <w:proofErr w:type="spellEnd"/>
      <w:r w:rsidRPr="00077F81">
        <w:rPr>
          <w:rStyle w:val="af5"/>
          <w:sz w:val="20"/>
          <w:szCs w:val="20"/>
          <w:lang w:val="en-US"/>
        </w:rPr>
        <w:t xml:space="preserve"> </w:t>
      </w:r>
      <w:proofErr w:type="spellStart"/>
      <w:r w:rsidRPr="00077F81">
        <w:rPr>
          <w:rStyle w:val="af5"/>
          <w:sz w:val="20"/>
          <w:szCs w:val="20"/>
          <w:lang w:val="en-US"/>
        </w:rPr>
        <w:t>i</w:t>
      </w:r>
      <w:proofErr w:type="spellEnd"/>
      <w:r w:rsidRPr="00077F81">
        <w:rPr>
          <w:rStyle w:val="af5"/>
          <w:sz w:val="20"/>
          <w:szCs w:val="20"/>
          <w:lang w:val="en-US"/>
        </w:rPr>
        <w:t xml:space="preserve"> </w:t>
      </w:r>
      <w:proofErr w:type="spellStart"/>
      <w:r w:rsidRPr="00077F81">
        <w:rPr>
          <w:rStyle w:val="af5"/>
          <w:sz w:val="20"/>
          <w:szCs w:val="20"/>
          <w:lang w:val="en-US"/>
        </w:rPr>
        <w:t>Rezina</w:t>
      </w:r>
      <w:proofErr w:type="spellEnd"/>
      <w:r w:rsidRPr="00077F81">
        <w:rPr>
          <w:sz w:val="20"/>
          <w:szCs w:val="20"/>
          <w:lang w:val="en-US"/>
        </w:rPr>
        <w:t xml:space="preserve"> </w:t>
      </w:r>
      <w:r w:rsidRPr="00077F81">
        <w:rPr>
          <w:rStyle w:val="a9"/>
          <w:sz w:val="20"/>
          <w:szCs w:val="20"/>
          <w:lang w:val="en-US"/>
        </w:rPr>
        <w:t>1</w:t>
      </w:r>
      <w:r w:rsidRPr="00077F81">
        <w:rPr>
          <w:sz w:val="20"/>
          <w:szCs w:val="20"/>
          <w:lang w:val="en-US"/>
        </w:rPr>
        <w:t>, 31–36 (2012).</w:t>
      </w:r>
    </w:p>
    <w:p w14:paraId="47BD96E3" w14:textId="0FD55244"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G. </w:t>
      </w:r>
      <w:proofErr w:type="spellStart"/>
      <w:r w:rsidRPr="00077F81">
        <w:rPr>
          <w:sz w:val="20"/>
          <w:szCs w:val="20"/>
          <w:lang w:val="en-US"/>
        </w:rPr>
        <w:t>Heideman</w:t>
      </w:r>
      <w:proofErr w:type="spellEnd"/>
      <w:r w:rsidRPr="00077F81">
        <w:rPr>
          <w:sz w:val="20"/>
          <w:szCs w:val="20"/>
          <w:lang w:val="en-US"/>
        </w:rPr>
        <w:t xml:space="preserve">, J. W. M. </w:t>
      </w:r>
      <w:proofErr w:type="spellStart"/>
      <w:r w:rsidRPr="00077F81">
        <w:rPr>
          <w:sz w:val="20"/>
          <w:szCs w:val="20"/>
          <w:lang w:val="en-US"/>
        </w:rPr>
        <w:t>Noordermeer</w:t>
      </w:r>
      <w:proofErr w:type="spellEnd"/>
      <w:r w:rsidRPr="00077F81">
        <w:rPr>
          <w:sz w:val="20"/>
          <w:szCs w:val="20"/>
          <w:lang w:val="en-US"/>
        </w:rPr>
        <w:t xml:space="preserve">, R. N. Datta, and B. Van </w:t>
      </w:r>
      <w:proofErr w:type="spellStart"/>
      <w:r w:rsidRPr="00077F81">
        <w:rPr>
          <w:sz w:val="20"/>
          <w:szCs w:val="20"/>
          <w:lang w:val="en-US"/>
        </w:rPr>
        <w:t>Baarle</w:t>
      </w:r>
      <w:proofErr w:type="spellEnd"/>
      <w:r w:rsidRPr="00077F81">
        <w:rPr>
          <w:sz w:val="20"/>
          <w:szCs w:val="20"/>
          <w:lang w:val="en-US"/>
        </w:rPr>
        <w:t xml:space="preserve">, </w:t>
      </w:r>
      <w:r w:rsidRPr="00077F81">
        <w:rPr>
          <w:rStyle w:val="af5"/>
          <w:sz w:val="20"/>
          <w:szCs w:val="20"/>
          <w:lang w:val="en-US"/>
        </w:rPr>
        <w:t>Zinc-loaded clay as an activator in sulfur vulcanization: A new alternative to zinc oxide</w:t>
      </w:r>
      <w:r w:rsidRPr="00077F81">
        <w:rPr>
          <w:sz w:val="20"/>
          <w:szCs w:val="20"/>
          <w:lang w:val="en-US"/>
        </w:rPr>
        <w:t xml:space="preserve">, </w:t>
      </w:r>
      <w:r w:rsidRPr="00077F81">
        <w:rPr>
          <w:rStyle w:val="af5"/>
          <w:sz w:val="20"/>
          <w:szCs w:val="20"/>
          <w:lang w:val="en-US"/>
        </w:rPr>
        <w:t>Rubber Chem. Technol.</w:t>
      </w:r>
      <w:r w:rsidRPr="00077F81">
        <w:rPr>
          <w:sz w:val="20"/>
          <w:szCs w:val="20"/>
          <w:lang w:val="en-US"/>
        </w:rPr>
        <w:t xml:space="preserve"> </w:t>
      </w:r>
      <w:r w:rsidRPr="00077F81">
        <w:rPr>
          <w:rStyle w:val="a9"/>
          <w:sz w:val="20"/>
          <w:szCs w:val="20"/>
          <w:lang w:val="en-US"/>
        </w:rPr>
        <w:t>77</w:t>
      </w:r>
      <w:r w:rsidRPr="00077F81">
        <w:rPr>
          <w:sz w:val="20"/>
          <w:szCs w:val="20"/>
          <w:lang w:val="en-US"/>
        </w:rPr>
        <w:t>, 336–352 (2004).</w:t>
      </w:r>
    </w:p>
    <w:p w14:paraId="4F526299" w14:textId="2673DD1F"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O. V. </w:t>
      </w:r>
      <w:proofErr w:type="spellStart"/>
      <w:r w:rsidRPr="00077F81">
        <w:rPr>
          <w:sz w:val="20"/>
          <w:szCs w:val="20"/>
          <w:lang w:val="en-US"/>
        </w:rPr>
        <w:t>Karmanova</w:t>
      </w:r>
      <w:proofErr w:type="spellEnd"/>
      <w:r w:rsidRPr="00077F81">
        <w:rPr>
          <w:sz w:val="20"/>
          <w:szCs w:val="20"/>
          <w:lang w:val="en-US"/>
        </w:rPr>
        <w:t xml:space="preserve">, L. V. Popova, and O. V. </w:t>
      </w:r>
      <w:proofErr w:type="spellStart"/>
      <w:r w:rsidRPr="00077F81">
        <w:rPr>
          <w:sz w:val="20"/>
          <w:szCs w:val="20"/>
          <w:lang w:val="en-US"/>
        </w:rPr>
        <w:t>Poimenova</w:t>
      </w:r>
      <w:proofErr w:type="spellEnd"/>
      <w:r w:rsidRPr="00077F81">
        <w:rPr>
          <w:sz w:val="20"/>
          <w:szCs w:val="20"/>
          <w:lang w:val="en-US"/>
        </w:rPr>
        <w:t xml:space="preserve">, </w:t>
      </w:r>
      <w:r w:rsidRPr="00077F81">
        <w:rPr>
          <w:rStyle w:val="af5"/>
          <w:sz w:val="20"/>
          <w:szCs w:val="20"/>
          <w:lang w:val="en-US"/>
        </w:rPr>
        <w:t>Development of activation systems for efficient vulcanization of elastomers</w:t>
      </w:r>
      <w:r w:rsidRPr="00077F81">
        <w:rPr>
          <w:sz w:val="20"/>
          <w:szCs w:val="20"/>
          <w:lang w:val="en-US"/>
        </w:rPr>
        <w:t xml:space="preserve">, </w:t>
      </w:r>
      <w:proofErr w:type="spellStart"/>
      <w:r w:rsidRPr="00077F81">
        <w:rPr>
          <w:rStyle w:val="af5"/>
          <w:sz w:val="20"/>
          <w:szCs w:val="20"/>
          <w:lang w:val="en-US"/>
        </w:rPr>
        <w:t>Vestn</w:t>
      </w:r>
      <w:proofErr w:type="spellEnd"/>
      <w:r w:rsidRPr="00077F81">
        <w:rPr>
          <w:rStyle w:val="af5"/>
          <w:sz w:val="20"/>
          <w:szCs w:val="20"/>
          <w:lang w:val="en-US"/>
        </w:rPr>
        <w:t>. VGTUIT</w:t>
      </w:r>
      <w:r w:rsidRPr="00077F81">
        <w:rPr>
          <w:sz w:val="20"/>
          <w:szCs w:val="20"/>
          <w:lang w:val="en-US"/>
        </w:rPr>
        <w:t xml:space="preserve"> </w:t>
      </w:r>
      <w:r w:rsidRPr="00077F81">
        <w:rPr>
          <w:rStyle w:val="a9"/>
          <w:sz w:val="20"/>
          <w:szCs w:val="20"/>
          <w:lang w:val="en-US"/>
        </w:rPr>
        <w:t>3</w:t>
      </w:r>
      <w:r w:rsidRPr="00077F81">
        <w:rPr>
          <w:sz w:val="20"/>
          <w:szCs w:val="20"/>
          <w:lang w:val="en-US"/>
        </w:rPr>
        <w:t>, 126–129 (2014).</w:t>
      </w:r>
    </w:p>
    <w:p w14:paraId="269D6325" w14:textId="5263A08D"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T. V. </w:t>
      </w:r>
      <w:proofErr w:type="spellStart"/>
      <w:r w:rsidRPr="00077F81">
        <w:rPr>
          <w:sz w:val="20"/>
          <w:szCs w:val="20"/>
          <w:lang w:val="en-US"/>
        </w:rPr>
        <w:t>Rogativa</w:t>
      </w:r>
      <w:proofErr w:type="spellEnd"/>
      <w:r w:rsidRPr="00077F81">
        <w:rPr>
          <w:sz w:val="20"/>
          <w:szCs w:val="20"/>
          <w:lang w:val="en-US"/>
        </w:rPr>
        <w:t xml:space="preserve">, V. F. </w:t>
      </w:r>
      <w:proofErr w:type="spellStart"/>
      <w:r w:rsidRPr="00077F81">
        <w:rPr>
          <w:sz w:val="20"/>
          <w:szCs w:val="20"/>
          <w:lang w:val="en-US"/>
        </w:rPr>
        <w:t>Shumskii</w:t>
      </w:r>
      <w:proofErr w:type="spellEnd"/>
      <w:r w:rsidRPr="00077F81">
        <w:rPr>
          <w:sz w:val="20"/>
          <w:szCs w:val="20"/>
          <w:lang w:val="en-US"/>
        </w:rPr>
        <w:t xml:space="preserve">, V. S. </w:t>
      </w:r>
      <w:proofErr w:type="spellStart"/>
      <w:r w:rsidRPr="00077F81">
        <w:rPr>
          <w:sz w:val="20"/>
          <w:szCs w:val="20"/>
          <w:lang w:val="en-US"/>
        </w:rPr>
        <w:t>Kutianina</w:t>
      </w:r>
      <w:proofErr w:type="spellEnd"/>
      <w:r w:rsidRPr="00077F81">
        <w:rPr>
          <w:sz w:val="20"/>
          <w:szCs w:val="20"/>
          <w:lang w:val="en-US"/>
        </w:rPr>
        <w:t xml:space="preserve">, and I. P. </w:t>
      </w:r>
      <w:proofErr w:type="spellStart"/>
      <w:r w:rsidRPr="00077F81">
        <w:rPr>
          <w:sz w:val="20"/>
          <w:szCs w:val="20"/>
          <w:lang w:val="en-US"/>
        </w:rPr>
        <w:t>Getmanchuk</w:t>
      </w:r>
      <w:proofErr w:type="spellEnd"/>
      <w:r w:rsidRPr="00077F81">
        <w:rPr>
          <w:sz w:val="20"/>
          <w:szCs w:val="20"/>
          <w:lang w:val="en-US"/>
        </w:rPr>
        <w:t xml:space="preserve">, </w:t>
      </w:r>
      <w:r w:rsidRPr="00077F81">
        <w:rPr>
          <w:rStyle w:val="af5"/>
          <w:sz w:val="20"/>
          <w:szCs w:val="20"/>
          <w:lang w:val="en-US"/>
        </w:rPr>
        <w:t>Effect of the technological additive Technol on the rheological properties of styrene-butadiene rubber</w:t>
      </w:r>
      <w:r w:rsidRPr="00077F81">
        <w:rPr>
          <w:sz w:val="20"/>
          <w:szCs w:val="20"/>
          <w:lang w:val="en-US"/>
        </w:rPr>
        <w:t xml:space="preserve">, </w:t>
      </w:r>
      <w:proofErr w:type="spellStart"/>
      <w:r w:rsidRPr="00077F81">
        <w:rPr>
          <w:rStyle w:val="af5"/>
          <w:sz w:val="20"/>
          <w:szCs w:val="20"/>
          <w:lang w:val="en-US"/>
        </w:rPr>
        <w:t>Kauchuk</w:t>
      </w:r>
      <w:proofErr w:type="spellEnd"/>
      <w:r w:rsidRPr="00077F81">
        <w:rPr>
          <w:rStyle w:val="af5"/>
          <w:sz w:val="20"/>
          <w:szCs w:val="20"/>
          <w:lang w:val="en-US"/>
        </w:rPr>
        <w:t xml:space="preserve"> </w:t>
      </w:r>
      <w:proofErr w:type="spellStart"/>
      <w:r w:rsidRPr="00077F81">
        <w:rPr>
          <w:rStyle w:val="af5"/>
          <w:sz w:val="20"/>
          <w:szCs w:val="20"/>
          <w:lang w:val="en-US"/>
        </w:rPr>
        <w:t>i</w:t>
      </w:r>
      <w:proofErr w:type="spellEnd"/>
      <w:r w:rsidRPr="00077F81">
        <w:rPr>
          <w:rStyle w:val="af5"/>
          <w:sz w:val="20"/>
          <w:szCs w:val="20"/>
          <w:lang w:val="en-US"/>
        </w:rPr>
        <w:t xml:space="preserve"> </w:t>
      </w:r>
      <w:proofErr w:type="spellStart"/>
      <w:r w:rsidRPr="00077F81">
        <w:rPr>
          <w:rStyle w:val="af5"/>
          <w:sz w:val="20"/>
          <w:szCs w:val="20"/>
          <w:lang w:val="en-US"/>
        </w:rPr>
        <w:t>Rezina</w:t>
      </w:r>
      <w:proofErr w:type="spellEnd"/>
      <w:r w:rsidRPr="00077F81">
        <w:rPr>
          <w:sz w:val="20"/>
          <w:szCs w:val="20"/>
          <w:lang w:val="en-US"/>
        </w:rPr>
        <w:t xml:space="preserve"> </w:t>
      </w:r>
      <w:r w:rsidRPr="00077F81">
        <w:rPr>
          <w:rStyle w:val="a9"/>
          <w:sz w:val="20"/>
          <w:szCs w:val="20"/>
          <w:lang w:val="en-US"/>
        </w:rPr>
        <w:t>3</w:t>
      </w:r>
      <w:r w:rsidRPr="00077F81">
        <w:rPr>
          <w:sz w:val="20"/>
          <w:szCs w:val="20"/>
          <w:lang w:val="en-US"/>
        </w:rPr>
        <w:t>, 24–28 (2004).</w:t>
      </w:r>
    </w:p>
    <w:p w14:paraId="7EF15AEE" w14:textId="7EDDF44B"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lastRenderedPageBreak/>
        <w:t xml:space="preserve">H. Chen, C. Wang, C. Hu, J. Zhang, S. Gao, W. Lu, and L. Chen, </w:t>
      </w:r>
      <w:r w:rsidRPr="00077F81">
        <w:rPr>
          <w:rStyle w:val="af5"/>
          <w:sz w:val="20"/>
          <w:szCs w:val="20"/>
          <w:lang w:val="en-US"/>
        </w:rPr>
        <w:t>Vulcanization accelerator-enabled sulfurized carbon materials for high capacity and high stability in lithium–sulfur batteries</w:t>
      </w:r>
      <w:r w:rsidRPr="00077F81">
        <w:rPr>
          <w:sz w:val="20"/>
          <w:szCs w:val="20"/>
          <w:lang w:val="en-US"/>
        </w:rPr>
        <w:t xml:space="preserve">, </w:t>
      </w:r>
      <w:r w:rsidRPr="00077F81">
        <w:rPr>
          <w:rStyle w:val="af5"/>
          <w:sz w:val="20"/>
          <w:szCs w:val="20"/>
          <w:lang w:val="en-US"/>
        </w:rPr>
        <w:t>J. Mater. Chem. A</w:t>
      </w:r>
      <w:r w:rsidRPr="00077F81">
        <w:rPr>
          <w:sz w:val="20"/>
          <w:szCs w:val="20"/>
          <w:lang w:val="en-US"/>
        </w:rPr>
        <w:t xml:space="preserve"> </w:t>
      </w:r>
      <w:r w:rsidRPr="00077F81">
        <w:rPr>
          <w:rStyle w:val="a9"/>
          <w:sz w:val="20"/>
          <w:szCs w:val="20"/>
          <w:lang w:val="en-US"/>
        </w:rPr>
        <w:t>3</w:t>
      </w:r>
      <w:r w:rsidRPr="00077F81">
        <w:rPr>
          <w:sz w:val="20"/>
          <w:szCs w:val="20"/>
          <w:lang w:val="en-US"/>
        </w:rPr>
        <w:t>, 1392–1395 (2015). doi:10.1039/C4TA05938G.</w:t>
      </w:r>
    </w:p>
    <w:p w14:paraId="0C3A4A29" w14:textId="45A8BE04"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S. Liu, J. Yu, K. </w:t>
      </w:r>
      <w:proofErr w:type="spellStart"/>
      <w:r w:rsidRPr="00077F81">
        <w:rPr>
          <w:sz w:val="20"/>
          <w:szCs w:val="20"/>
          <w:lang w:val="en-US"/>
        </w:rPr>
        <w:t>Bikane</w:t>
      </w:r>
      <w:proofErr w:type="spellEnd"/>
      <w:r w:rsidRPr="00077F81">
        <w:rPr>
          <w:sz w:val="20"/>
          <w:szCs w:val="20"/>
          <w:lang w:val="en-US"/>
        </w:rPr>
        <w:t xml:space="preserve">, T. Chen, C. Ma, B. Wang, and L. Sun, </w:t>
      </w:r>
      <w:r w:rsidRPr="00077F81">
        <w:rPr>
          <w:rStyle w:val="af5"/>
          <w:sz w:val="20"/>
          <w:szCs w:val="20"/>
          <w:lang w:val="en-US"/>
        </w:rPr>
        <w:t>Rubber pyrolysis: Kinetic modeling and vulcanization effects</w:t>
      </w:r>
      <w:r w:rsidRPr="00077F81">
        <w:rPr>
          <w:sz w:val="20"/>
          <w:szCs w:val="20"/>
          <w:lang w:val="en-US"/>
        </w:rPr>
        <w:t xml:space="preserve">, </w:t>
      </w:r>
      <w:r w:rsidRPr="00077F81">
        <w:rPr>
          <w:rStyle w:val="af5"/>
          <w:sz w:val="20"/>
          <w:szCs w:val="20"/>
          <w:lang w:val="en-US"/>
        </w:rPr>
        <w:t>Energy</w:t>
      </w:r>
      <w:r w:rsidRPr="00077F81">
        <w:rPr>
          <w:sz w:val="20"/>
          <w:szCs w:val="20"/>
          <w:lang w:val="en-US"/>
        </w:rPr>
        <w:t xml:space="preserve"> </w:t>
      </w:r>
      <w:r w:rsidRPr="00077F81">
        <w:rPr>
          <w:rStyle w:val="a9"/>
          <w:sz w:val="20"/>
          <w:szCs w:val="20"/>
          <w:lang w:val="en-US"/>
        </w:rPr>
        <w:t>155</w:t>
      </w:r>
      <w:r w:rsidRPr="00077F81">
        <w:rPr>
          <w:sz w:val="20"/>
          <w:szCs w:val="20"/>
          <w:lang w:val="en-US"/>
        </w:rPr>
        <w:t xml:space="preserve">, 215–225 (2018). </w:t>
      </w:r>
      <w:proofErr w:type="gramStart"/>
      <w:r w:rsidRPr="00077F81">
        <w:rPr>
          <w:sz w:val="20"/>
          <w:szCs w:val="20"/>
          <w:lang w:val="en-US"/>
        </w:rPr>
        <w:t>doi:10.1016/j.energy</w:t>
      </w:r>
      <w:proofErr w:type="gramEnd"/>
      <w:r w:rsidRPr="00077F81">
        <w:rPr>
          <w:sz w:val="20"/>
          <w:szCs w:val="20"/>
          <w:lang w:val="en-US"/>
        </w:rPr>
        <w:t>.2018.04.144.</w:t>
      </w:r>
    </w:p>
    <w:p w14:paraId="333BB760" w14:textId="4F768659"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M. Wang, J. Zhu, S. Zhang, G. You, and S. Wu, </w:t>
      </w:r>
      <w:r w:rsidRPr="00077F81">
        <w:rPr>
          <w:rStyle w:val="af5"/>
          <w:sz w:val="20"/>
          <w:szCs w:val="20"/>
          <w:lang w:val="en-US"/>
        </w:rPr>
        <w:t>Factors influencing the vulcanization induction period of natural rubber composites: A combined molecular simulation and experimental study</w:t>
      </w:r>
      <w:r w:rsidRPr="00077F81">
        <w:rPr>
          <w:sz w:val="20"/>
          <w:szCs w:val="20"/>
          <w:lang w:val="en-US"/>
        </w:rPr>
        <w:t xml:space="preserve">, </w:t>
      </w:r>
      <w:proofErr w:type="spellStart"/>
      <w:r w:rsidRPr="00077F81">
        <w:rPr>
          <w:rStyle w:val="af5"/>
          <w:sz w:val="20"/>
          <w:szCs w:val="20"/>
          <w:lang w:val="en-US"/>
        </w:rPr>
        <w:t>Polym</w:t>
      </w:r>
      <w:proofErr w:type="spellEnd"/>
      <w:r w:rsidRPr="00077F81">
        <w:rPr>
          <w:rStyle w:val="af5"/>
          <w:sz w:val="20"/>
          <w:szCs w:val="20"/>
          <w:lang w:val="en-US"/>
        </w:rPr>
        <w:t>. Test.</w:t>
      </w:r>
      <w:r w:rsidRPr="00077F81">
        <w:rPr>
          <w:sz w:val="20"/>
          <w:szCs w:val="20"/>
          <w:lang w:val="en-US"/>
        </w:rPr>
        <w:t xml:space="preserve"> </w:t>
      </w:r>
      <w:r w:rsidRPr="00077F81">
        <w:rPr>
          <w:rStyle w:val="a9"/>
          <w:sz w:val="20"/>
          <w:szCs w:val="20"/>
          <w:lang w:val="en-US"/>
        </w:rPr>
        <w:t>80</w:t>
      </w:r>
      <w:r w:rsidRPr="00077F81">
        <w:rPr>
          <w:sz w:val="20"/>
          <w:szCs w:val="20"/>
          <w:lang w:val="en-US"/>
        </w:rPr>
        <w:t xml:space="preserve">, 106075 (2019). </w:t>
      </w:r>
      <w:proofErr w:type="gramStart"/>
      <w:r w:rsidRPr="00077F81">
        <w:rPr>
          <w:sz w:val="20"/>
          <w:szCs w:val="20"/>
          <w:lang w:val="en-US"/>
        </w:rPr>
        <w:t>doi:10.1016/j.polymertesting</w:t>
      </w:r>
      <w:proofErr w:type="gramEnd"/>
      <w:r w:rsidRPr="00077F81">
        <w:rPr>
          <w:sz w:val="20"/>
          <w:szCs w:val="20"/>
          <w:lang w:val="en-US"/>
        </w:rPr>
        <w:t>.2019.106075.</w:t>
      </w:r>
    </w:p>
    <w:p w14:paraId="14F6A55C" w14:textId="317AF372"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E. </w:t>
      </w:r>
      <w:proofErr w:type="spellStart"/>
      <w:r w:rsidRPr="00077F81">
        <w:rPr>
          <w:sz w:val="20"/>
          <w:szCs w:val="20"/>
          <w:lang w:val="en-US"/>
        </w:rPr>
        <w:t>Teshabayeva</w:t>
      </w:r>
      <w:proofErr w:type="spellEnd"/>
      <w:r w:rsidRPr="00077F81">
        <w:rPr>
          <w:sz w:val="20"/>
          <w:szCs w:val="20"/>
          <w:lang w:val="en-US"/>
        </w:rPr>
        <w:t xml:space="preserve">, S. </w:t>
      </w:r>
      <w:proofErr w:type="spellStart"/>
      <w:r w:rsidRPr="00077F81">
        <w:rPr>
          <w:sz w:val="20"/>
          <w:szCs w:val="20"/>
          <w:lang w:val="en-US"/>
        </w:rPr>
        <w:t>Axmadjanov</w:t>
      </w:r>
      <w:proofErr w:type="spellEnd"/>
      <w:r w:rsidRPr="00077F81">
        <w:rPr>
          <w:sz w:val="20"/>
          <w:szCs w:val="20"/>
          <w:lang w:val="en-US"/>
        </w:rPr>
        <w:t xml:space="preserve">, S. </w:t>
      </w:r>
      <w:proofErr w:type="spellStart"/>
      <w:r w:rsidRPr="00077F81">
        <w:rPr>
          <w:sz w:val="20"/>
          <w:szCs w:val="20"/>
          <w:lang w:val="en-US"/>
        </w:rPr>
        <w:t>Turobdjonov</w:t>
      </w:r>
      <w:proofErr w:type="spellEnd"/>
      <w:r w:rsidRPr="00077F81">
        <w:rPr>
          <w:sz w:val="20"/>
          <w:szCs w:val="20"/>
          <w:lang w:val="en-US"/>
        </w:rPr>
        <w:t xml:space="preserve">, and M. </w:t>
      </w:r>
      <w:proofErr w:type="spellStart"/>
      <w:r w:rsidRPr="00077F81">
        <w:rPr>
          <w:sz w:val="20"/>
          <w:szCs w:val="20"/>
          <w:lang w:val="en-US"/>
        </w:rPr>
        <w:t>Tursunaliev</w:t>
      </w:r>
      <w:proofErr w:type="spellEnd"/>
      <w:r w:rsidRPr="00077F81">
        <w:rPr>
          <w:sz w:val="20"/>
          <w:szCs w:val="20"/>
          <w:lang w:val="en-US"/>
        </w:rPr>
        <w:t xml:space="preserve">, </w:t>
      </w:r>
      <w:r w:rsidRPr="00077F81">
        <w:rPr>
          <w:rStyle w:val="af5"/>
          <w:sz w:val="20"/>
          <w:szCs w:val="20"/>
          <w:lang w:val="en-US"/>
        </w:rPr>
        <w:t>Properties of elastomer compositions filled with a multifunctional filler</w:t>
      </w:r>
      <w:r w:rsidRPr="00077F81">
        <w:rPr>
          <w:sz w:val="20"/>
          <w:szCs w:val="20"/>
          <w:lang w:val="en-US"/>
        </w:rPr>
        <w:t xml:space="preserve">, </w:t>
      </w:r>
      <w:r w:rsidRPr="00077F81">
        <w:rPr>
          <w:rStyle w:val="af5"/>
          <w:sz w:val="20"/>
          <w:szCs w:val="20"/>
          <w:lang w:val="en-US"/>
        </w:rPr>
        <w:t>AIP Conf. Proc.</w:t>
      </w:r>
      <w:r w:rsidRPr="00077F81">
        <w:rPr>
          <w:sz w:val="20"/>
          <w:szCs w:val="20"/>
          <w:lang w:val="en-US"/>
        </w:rPr>
        <w:t xml:space="preserve"> </w:t>
      </w:r>
      <w:r w:rsidRPr="00077F81">
        <w:rPr>
          <w:rStyle w:val="a9"/>
          <w:sz w:val="20"/>
          <w:szCs w:val="20"/>
          <w:lang w:val="en-US"/>
        </w:rPr>
        <w:t>3045</w:t>
      </w:r>
      <w:r w:rsidRPr="00077F81">
        <w:rPr>
          <w:sz w:val="20"/>
          <w:szCs w:val="20"/>
          <w:lang w:val="en-US"/>
        </w:rPr>
        <w:t>, 06007 (2024). doi:10.1063/5.0145712.</w:t>
      </w:r>
    </w:p>
    <w:p w14:paraId="553278D6" w14:textId="306DF161"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E. U. </w:t>
      </w:r>
      <w:proofErr w:type="spellStart"/>
      <w:r w:rsidRPr="00077F81">
        <w:rPr>
          <w:sz w:val="20"/>
          <w:szCs w:val="20"/>
          <w:lang w:val="en-US"/>
        </w:rPr>
        <w:t>Teshabayeva</w:t>
      </w:r>
      <w:proofErr w:type="spellEnd"/>
      <w:r w:rsidRPr="00077F81">
        <w:rPr>
          <w:sz w:val="20"/>
          <w:szCs w:val="20"/>
          <w:lang w:val="en-US"/>
        </w:rPr>
        <w:t xml:space="preserve">, S. A. </w:t>
      </w:r>
      <w:proofErr w:type="spellStart"/>
      <w:r w:rsidRPr="00077F81">
        <w:rPr>
          <w:sz w:val="20"/>
          <w:szCs w:val="20"/>
          <w:lang w:val="en-US"/>
        </w:rPr>
        <w:t>Axmadjanov</w:t>
      </w:r>
      <w:proofErr w:type="spellEnd"/>
      <w:r w:rsidRPr="00077F81">
        <w:rPr>
          <w:sz w:val="20"/>
          <w:szCs w:val="20"/>
          <w:lang w:val="en-US"/>
        </w:rPr>
        <w:t xml:space="preserve">, M. M. </w:t>
      </w:r>
      <w:proofErr w:type="spellStart"/>
      <w:r w:rsidRPr="00077F81">
        <w:rPr>
          <w:sz w:val="20"/>
          <w:szCs w:val="20"/>
          <w:lang w:val="en-US"/>
        </w:rPr>
        <w:t>Tursunaliev</w:t>
      </w:r>
      <w:proofErr w:type="spellEnd"/>
      <w:r w:rsidRPr="00077F81">
        <w:rPr>
          <w:sz w:val="20"/>
          <w:szCs w:val="20"/>
          <w:lang w:val="en-US"/>
        </w:rPr>
        <w:t xml:space="preserve">, and </w:t>
      </w:r>
      <w:proofErr w:type="spellStart"/>
      <w:r w:rsidRPr="00077F81">
        <w:rPr>
          <w:sz w:val="20"/>
          <w:szCs w:val="20"/>
          <w:lang w:val="en-US"/>
        </w:rPr>
        <w:t>Kh</w:t>
      </w:r>
      <w:proofErr w:type="spellEnd"/>
      <w:r w:rsidRPr="00077F81">
        <w:rPr>
          <w:sz w:val="20"/>
          <w:szCs w:val="20"/>
          <w:lang w:val="en-US"/>
        </w:rPr>
        <w:t xml:space="preserve">. T. </w:t>
      </w:r>
      <w:proofErr w:type="spellStart"/>
      <w:r w:rsidRPr="00077F81">
        <w:rPr>
          <w:sz w:val="20"/>
          <w:szCs w:val="20"/>
          <w:lang w:val="en-US"/>
        </w:rPr>
        <w:t>Ergashova</w:t>
      </w:r>
      <w:proofErr w:type="spellEnd"/>
      <w:r w:rsidRPr="00077F81">
        <w:rPr>
          <w:sz w:val="20"/>
          <w:szCs w:val="20"/>
          <w:lang w:val="en-US"/>
        </w:rPr>
        <w:t xml:space="preserve">, </w:t>
      </w:r>
      <w:r w:rsidRPr="00077F81">
        <w:rPr>
          <w:rStyle w:val="af5"/>
          <w:sz w:val="20"/>
          <w:szCs w:val="20"/>
          <w:lang w:val="en-US"/>
        </w:rPr>
        <w:t>Gas pyrolysis resin as a plasticizer for composite elastomer materials</w:t>
      </w:r>
      <w:r w:rsidRPr="00077F81">
        <w:rPr>
          <w:sz w:val="20"/>
          <w:szCs w:val="20"/>
          <w:lang w:val="en-US"/>
        </w:rPr>
        <w:t xml:space="preserve">, </w:t>
      </w:r>
      <w:r w:rsidRPr="00077F81">
        <w:rPr>
          <w:rStyle w:val="af5"/>
          <w:sz w:val="20"/>
          <w:szCs w:val="20"/>
          <w:lang w:val="en-US"/>
        </w:rPr>
        <w:t>E3S Web Conf.</w:t>
      </w:r>
      <w:r w:rsidRPr="00077F81">
        <w:rPr>
          <w:sz w:val="20"/>
          <w:szCs w:val="20"/>
          <w:lang w:val="en-US"/>
        </w:rPr>
        <w:t xml:space="preserve"> </w:t>
      </w:r>
      <w:r w:rsidRPr="00077F81">
        <w:rPr>
          <w:rStyle w:val="a9"/>
          <w:sz w:val="20"/>
          <w:szCs w:val="20"/>
          <w:lang w:val="en-US"/>
        </w:rPr>
        <w:t>383</w:t>
      </w:r>
      <w:r w:rsidRPr="00077F81">
        <w:rPr>
          <w:sz w:val="20"/>
          <w:szCs w:val="20"/>
          <w:lang w:val="en-US"/>
        </w:rPr>
        <w:t>, 04036 (2023). doi:10.1051/e3sconf/202338304036.</w:t>
      </w:r>
    </w:p>
    <w:p w14:paraId="0C528F59" w14:textId="27D2989E" w:rsidR="00077F81" w:rsidRPr="001B7B1F" w:rsidRDefault="00077F81" w:rsidP="00077F81">
      <w:pPr>
        <w:pStyle w:val="ac"/>
        <w:numPr>
          <w:ilvl w:val="0"/>
          <w:numId w:val="4"/>
        </w:numPr>
        <w:spacing w:before="0" w:beforeAutospacing="0" w:after="0" w:afterAutospacing="0"/>
        <w:ind w:left="425" w:hanging="425"/>
        <w:jc w:val="both"/>
        <w:rPr>
          <w:sz w:val="20"/>
          <w:szCs w:val="20"/>
          <w:lang w:val="en-US"/>
        </w:rPr>
      </w:pPr>
      <w:r w:rsidRPr="001B7B1F">
        <w:rPr>
          <w:sz w:val="20"/>
          <w:szCs w:val="20"/>
          <w:lang w:val="en-US"/>
        </w:rPr>
        <w:t xml:space="preserve">E. A. </w:t>
      </w:r>
      <w:proofErr w:type="spellStart"/>
      <w:r w:rsidRPr="001B7B1F">
        <w:rPr>
          <w:sz w:val="20"/>
          <w:szCs w:val="20"/>
          <w:lang w:val="en-US"/>
        </w:rPr>
        <w:t>Maxsetbaev</w:t>
      </w:r>
      <w:proofErr w:type="spellEnd"/>
      <w:r w:rsidRPr="001B7B1F">
        <w:rPr>
          <w:sz w:val="20"/>
          <w:szCs w:val="20"/>
          <w:lang w:val="en-US"/>
        </w:rPr>
        <w:t xml:space="preserve">, S. M. </w:t>
      </w:r>
      <w:proofErr w:type="spellStart"/>
      <w:r w:rsidRPr="001B7B1F">
        <w:rPr>
          <w:sz w:val="20"/>
          <w:szCs w:val="20"/>
          <w:lang w:val="en-US"/>
        </w:rPr>
        <w:t>Turobjonov</w:t>
      </w:r>
      <w:proofErr w:type="spellEnd"/>
      <w:r w:rsidRPr="001B7B1F">
        <w:rPr>
          <w:sz w:val="20"/>
          <w:szCs w:val="20"/>
          <w:lang w:val="en-US"/>
        </w:rPr>
        <w:t xml:space="preserve">, A. </w:t>
      </w:r>
      <w:proofErr w:type="spellStart"/>
      <w:r w:rsidRPr="001B7B1F">
        <w:rPr>
          <w:sz w:val="20"/>
          <w:szCs w:val="20"/>
          <w:lang w:val="en-US"/>
        </w:rPr>
        <w:t>Ibadullaev</w:t>
      </w:r>
      <w:proofErr w:type="spellEnd"/>
      <w:r w:rsidRPr="001B7B1F">
        <w:rPr>
          <w:sz w:val="20"/>
          <w:szCs w:val="20"/>
          <w:lang w:val="en-US"/>
        </w:rPr>
        <w:t xml:space="preserve">, and E. U. </w:t>
      </w:r>
      <w:proofErr w:type="spellStart"/>
      <w:r w:rsidRPr="001B7B1F">
        <w:rPr>
          <w:sz w:val="20"/>
          <w:szCs w:val="20"/>
          <w:lang w:val="en-US"/>
        </w:rPr>
        <w:t>Teshabayeva</w:t>
      </w:r>
      <w:proofErr w:type="spellEnd"/>
      <w:r w:rsidRPr="001B7B1F">
        <w:rPr>
          <w:sz w:val="20"/>
          <w:szCs w:val="20"/>
          <w:lang w:val="en-US"/>
        </w:rPr>
        <w:t xml:space="preserve">, </w:t>
      </w:r>
      <w:proofErr w:type="spellStart"/>
      <w:r w:rsidRPr="001B7B1F">
        <w:rPr>
          <w:rStyle w:val="af5"/>
          <w:sz w:val="20"/>
          <w:szCs w:val="20"/>
          <w:lang w:val="en-US"/>
        </w:rPr>
        <w:t>Poluchenie</w:t>
      </w:r>
      <w:proofErr w:type="spellEnd"/>
      <w:r w:rsidRPr="001B7B1F">
        <w:rPr>
          <w:rStyle w:val="af5"/>
          <w:sz w:val="20"/>
          <w:szCs w:val="20"/>
          <w:lang w:val="en-US"/>
        </w:rPr>
        <w:t xml:space="preserve">, </w:t>
      </w:r>
      <w:proofErr w:type="spellStart"/>
      <w:r w:rsidRPr="001B7B1F">
        <w:rPr>
          <w:rStyle w:val="af5"/>
          <w:sz w:val="20"/>
          <w:szCs w:val="20"/>
          <w:lang w:val="en-US"/>
        </w:rPr>
        <w:t>svoystva</w:t>
      </w:r>
      <w:proofErr w:type="spellEnd"/>
      <w:r w:rsidRPr="001B7B1F">
        <w:rPr>
          <w:rStyle w:val="af5"/>
          <w:sz w:val="20"/>
          <w:szCs w:val="20"/>
          <w:lang w:val="en-US"/>
        </w:rPr>
        <w:t xml:space="preserve"> </w:t>
      </w:r>
      <w:proofErr w:type="spellStart"/>
      <w:r w:rsidRPr="001B7B1F">
        <w:rPr>
          <w:rStyle w:val="af5"/>
          <w:sz w:val="20"/>
          <w:szCs w:val="20"/>
          <w:lang w:val="en-US"/>
        </w:rPr>
        <w:t>i</w:t>
      </w:r>
      <w:proofErr w:type="spellEnd"/>
      <w:r w:rsidRPr="001B7B1F">
        <w:rPr>
          <w:rStyle w:val="af5"/>
          <w:sz w:val="20"/>
          <w:szCs w:val="20"/>
          <w:lang w:val="en-US"/>
        </w:rPr>
        <w:t xml:space="preserve"> </w:t>
      </w:r>
      <w:proofErr w:type="spellStart"/>
      <w:r w:rsidRPr="001B7B1F">
        <w:rPr>
          <w:rStyle w:val="af5"/>
          <w:sz w:val="20"/>
          <w:szCs w:val="20"/>
          <w:lang w:val="en-US"/>
        </w:rPr>
        <w:t>primenenie</w:t>
      </w:r>
      <w:proofErr w:type="spellEnd"/>
      <w:r w:rsidRPr="001B7B1F">
        <w:rPr>
          <w:rStyle w:val="af5"/>
          <w:sz w:val="20"/>
          <w:szCs w:val="20"/>
          <w:lang w:val="en-US"/>
        </w:rPr>
        <w:t xml:space="preserve"> </w:t>
      </w:r>
      <w:proofErr w:type="spellStart"/>
      <w:r w:rsidRPr="001B7B1F">
        <w:rPr>
          <w:rStyle w:val="af5"/>
          <w:sz w:val="20"/>
          <w:szCs w:val="20"/>
          <w:lang w:val="en-US"/>
        </w:rPr>
        <w:t>kubovogo</w:t>
      </w:r>
      <w:proofErr w:type="spellEnd"/>
      <w:r w:rsidRPr="001B7B1F">
        <w:rPr>
          <w:rStyle w:val="af5"/>
          <w:sz w:val="20"/>
          <w:szCs w:val="20"/>
          <w:lang w:val="en-US"/>
        </w:rPr>
        <w:t xml:space="preserve"> </w:t>
      </w:r>
      <w:proofErr w:type="spellStart"/>
      <w:r w:rsidRPr="001B7B1F">
        <w:rPr>
          <w:rStyle w:val="af5"/>
          <w:sz w:val="20"/>
          <w:szCs w:val="20"/>
          <w:lang w:val="en-US"/>
        </w:rPr>
        <w:t>ostatka</w:t>
      </w:r>
      <w:proofErr w:type="spellEnd"/>
      <w:r w:rsidRPr="001B7B1F">
        <w:rPr>
          <w:rStyle w:val="af5"/>
          <w:sz w:val="20"/>
          <w:szCs w:val="20"/>
          <w:lang w:val="en-US"/>
        </w:rPr>
        <w:t xml:space="preserve"> </w:t>
      </w:r>
      <w:proofErr w:type="spellStart"/>
      <w:r w:rsidRPr="001B7B1F">
        <w:rPr>
          <w:rStyle w:val="af5"/>
          <w:sz w:val="20"/>
          <w:szCs w:val="20"/>
          <w:lang w:val="en-US"/>
        </w:rPr>
        <w:t>gazopiroliznoy</w:t>
      </w:r>
      <w:proofErr w:type="spellEnd"/>
      <w:r w:rsidRPr="001B7B1F">
        <w:rPr>
          <w:rStyle w:val="af5"/>
          <w:sz w:val="20"/>
          <w:szCs w:val="20"/>
          <w:lang w:val="en-US"/>
        </w:rPr>
        <w:t xml:space="preserve"> </w:t>
      </w:r>
      <w:proofErr w:type="spellStart"/>
      <w:r w:rsidRPr="001B7B1F">
        <w:rPr>
          <w:rStyle w:val="af5"/>
          <w:sz w:val="20"/>
          <w:szCs w:val="20"/>
          <w:lang w:val="en-US"/>
        </w:rPr>
        <w:t>smoly</w:t>
      </w:r>
      <w:proofErr w:type="spellEnd"/>
      <w:r w:rsidRPr="001B7B1F">
        <w:rPr>
          <w:rStyle w:val="af5"/>
          <w:sz w:val="20"/>
          <w:szCs w:val="20"/>
          <w:lang w:val="en-US"/>
        </w:rPr>
        <w:t xml:space="preserve"> v </w:t>
      </w:r>
      <w:proofErr w:type="spellStart"/>
      <w:r w:rsidRPr="001B7B1F">
        <w:rPr>
          <w:rStyle w:val="af5"/>
          <w:sz w:val="20"/>
          <w:szCs w:val="20"/>
          <w:lang w:val="en-US"/>
        </w:rPr>
        <w:t>proizvodstve</w:t>
      </w:r>
      <w:proofErr w:type="spellEnd"/>
      <w:r w:rsidRPr="001B7B1F">
        <w:rPr>
          <w:rStyle w:val="af5"/>
          <w:sz w:val="20"/>
          <w:szCs w:val="20"/>
          <w:lang w:val="en-US"/>
        </w:rPr>
        <w:t xml:space="preserve"> </w:t>
      </w:r>
      <w:proofErr w:type="spellStart"/>
      <w:r w:rsidRPr="001B7B1F">
        <w:rPr>
          <w:rStyle w:val="af5"/>
          <w:sz w:val="20"/>
          <w:szCs w:val="20"/>
          <w:lang w:val="en-US"/>
        </w:rPr>
        <w:t>i</w:t>
      </w:r>
      <w:proofErr w:type="spellEnd"/>
      <w:r w:rsidRPr="001B7B1F">
        <w:rPr>
          <w:rStyle w:val="af5"/>
          <w:sz w:val="20"/>
          <w:szCs w:val="20"/>
          <w:lang w:val="en-US"/>
        </w:rPr>
        <w:t xml:space="preserve"> </w:t>
      </w:r>
      <w:proofErr w:type="spellStart"/>
      <w:r w:rsidRPr="001B7B1F">
        <w:rPr>
          <w:rStyle w:val="af5"/>
          <w:sz w:val="20"/>
          <w:szCs w:val="20"/>
          <w:lang w:val="en-US"/>
        </w:rPr>
        <w:t>pererabotke</w:t>
      </w:r>
      <w:proofErr w:type="spellEnd"/>
      <w:r w:rsidRPr="001B7B1F">
        <w:rPr>
          <w:rStyle w:val="af5"/>
          <w:sz w:val="20"/>
          <w:szCs w:val="20"/>
          <w:lang w:val="en-US"/>
        </w:rPr>
        <w:t xml:space="preserve"> </w:t>
      </w:r>
      <w:proofErr w:type="spellStart"/>
      <w:r w:rsidRPr="001B7B1F">
        <w:rPr>
          <w:rStyle w:val="af5"/>
          <w:sz w:val="20"/>
          <w:szCs w:val="20"/>
          <w:lang w:val="en-US"/>
        </w:rPr>
        <w:t>elastomerov</w:t>
      </w:r>
      <w:proofErr w:type="spellEnd"/>
      <w:r w:rsidRPr="001B7B1F">
        <w:rPr>
          <w:sz w:val="20"/>
          <w:szCs w:val="20"/>
          <w:lang w:val="en-US"/>
        </w:rPr>
        <w:t xml:space="preserve">, </w:t>
      </w:r>
      <w:proofErr w:type="spellStart"/>
      <w:r w:rsidRPr="001B7B1F">
        <w:rPr>
          <w:rStyle w:val="af5"/>
          <w:sz w:val="20"/>
          <w:szCs w:val="20"/>
          <w:lang w:val="en-US"/>
        </w:rPr>
        <w:t>Kompozitsionnye</w:t>
      </w:r>
      <w:proofErr w:type="spellEnd"/>
      <w:r w:rsidRPr="001B7B1F">
        <w:rPr>
          <w:rStyle w:val="af5"/>
          <w:sz w:val="20"/>
          <w:szCs w:val="20"/>
          <w:lang w:val="en-US"/>
        </w:rPr>
        <w:t xml:space="preserve"> </w:t>
      </w:r>
      <w:proofErr w:type="spellStart"/>
      <w:r w:rsidRPr="001B7B1F">
        <w:rPr>
          <w:rStyle w:val="af5"/>
          <w:sz w:val="20"/>
          <w:szCs w:val="20"/>
          <w:lang w:val="en-US"/>
        </w:rPr>
        <w:t>materialy</w:t>
      </w:r>
      <w:proofErr w:type="spellEnd"/>
      <w:r w:rsidRPr="001B7B1F">
        <w:rPr>
          <w:sz w:val="20"/>
          <w:szCs w:val="20"/>
          <w:lang w:val="en-US"/>
        </w:rPr>
        <w:t xml:space="preserve"> </w:t>
      </w:r>
      <w:r w:rsidRPr="001B7B1F">
        <w:rPr>
          <w:rStyle w:val="a9"/>
          <w:sz w:val="20"/>
          <w:szCs w:val="20"/>
          <w:lang w:val="en-US"/>
        </w:rPr>
        <w:t>1</w:t>
      </w:r>
      <w:r w:rsidRPr="001B7B1F">
        <w:rPr>
          <w:sz w:val="20"/>
          <w:szCs w:val="20"/>
          <w:lang w:val="en-US"/>
        </w:rPr>
        <w:t>, 166–169 (2024).</w:t>
      </w:r>
    </w:p>
    <w:p w14:paraId="5652087F" w14:textId="2F18CD37"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A. </w:t>
      </w:r>
      <w:proofErr w:type="spellStart"/>
      <w:r w:rsidRPr="00077F81">
        <w:rPr>
          <w:sz w:val="20"/>
          <w:szCs w:val="20"/>
          <w:lang w:val="en-US"/>
        </w:rPr>
        <w:t>Ibadullaev</w:t>
      </w:r>
      <w:proofErr w:type="spellEnd"/>
      <w:r w:rsidRPr="00077F81">
        <w:rPr>
          <w:sz w:val="20"/>
          <w:szCs w:val="20"/>
          <w:lang w:val="en-US"/>
        </w:rPr>
        <w:t xml:space="preserve">, E. </w:t>
      </w:r>
      <w:proofErr w:type="spellStart"/>
      <w:r w:rsidRPr="00077F81">
        <w:rPr>
          <w:sz w:val="20"/>
          <w:szCs w:val="20"/>
          <w:lang w:val="en-US"/>
        </w:rPr>
        <w:t>Maxsetbaev</w:t>
      </w:r>
      <w:proofErr w:type="spellEnd"/>
      <w:r w:rsidRPr="00077F81">
        <w:rPr>
          <w:sz w:val="20"/>
          <w:szCs w:val="20"/>
          <w:lang w:val="en-US"/>
        </w:rPr>
        <w:t xml:space="preserve">, and A. </w:t>
      </w:r>
      <w:proofErr w:type="spellStart"/>
      <w:r w:rsidRPr="00077F81">
        <w:rPr>
          <w:sz w:val="20"/>
          <w:szCs w:val="20"/>
          <w:lang w:val="en-US"/>
        </w:rPr>
        <w:t>Babaev</w:t>
      </w:r>
      <w:proofErr w:type="spellEnd"/>
      <w:r w:rsidRPr="00077F81">
        <w:rPr>
          <w:sz w:val="20"/>
          <w:szCs w:val="20"/>
          <w:lang w:val="en-US"/>
        </w:rPr>
        <w:t xml:space="preserve">, </w:t>
      </w:r>
      <w:r w:rsidRPr="00077F81">
        <w:rPr>
          <w:rStyle w:val="af5"/>
          <w:sz w:val="20"/>
          <w:szCs w:val="20"/>
          <w:lang w:val="en-US"/>
        </w:rPr>
        <w:t>Properties of elastomer compositions with the application of gas pyrolysis resin residue as a plasticizer</w:t>
      </w:r>
      <w:r w:rsidRPr="00077F81">
        <w:rPr>
          <w:sz w:val="20"/>
          <w:szCs w:val="20"/>
          <w:lang w:val="en-US"/>
        </w:rPr>
        <w:t xml:space="preserve">, </w:t>
      </w:r>
      <w:r w:rsidRPr="00077F81">
        <w:rPr>
          <w:rStyle w:val="af5"/>
          <w:sz w:val="20"/>
          <w:szCs w:val="20"/>
          <w:lang w:val="en-US"/>
        </w:rPr>
        <w:t>AIP Conf. Proc.</w:t>
      </w:r>
      <w:r w:rsidRPr="00077F81">
        <w:rPr>
          <w:sz w:val="20"/>
          <w:szCs w:val="20"/>
          <w:lang w:val="en-US"/>
        </w:rPr>
        <w:t xml:space="preserve"> </w:t>
      </w:r>
      <w:r w:rsidRPr="00077F81">
        <w:rPr>
          <w:rStyle w:val="a9"/>
          <w:sz w:val="20"/>
          <w:szCs w:val="20"/>
          <w:lang w:val="en-US"/>
        </w:rPr>
        <w:t>3045</w:t>
      </w:r>
      <w:r w:rsidRPr="00077F81">
        <w:rPr>
          <w:sz w:val="20"/>
          <w:szCs w:val="20"/>
          <w:lang w:val="en-US"/>
        </w:rPr>
        <w:t>, 060005 (2024). doi:10.1063/5.0197534.</w:t>
      </w:r>
    </w:p>
    <w:p w14:paraId="241CCEB3" w14:textId="09943407"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A. </w:t>
      </w:r>
      <w:proofErr w:type="spellStart"/>
      <w:r w:rsidRPr="00077F81">
        <w:rPr>
          <w:sz w:val="20"/>
          <w:szCs w:val="20"/>
          <w:lang w:val="en-US"/>
        </w:rPr>
        <w:t>Ibadullaev</w:t>
      </w:r>
      <w:proofErr w:type="spellEnd"/>
      <w:r w:rsidRPr="00077F81">
        <w:rPr>
          <w:sz w:val="20"/>
          <w:szCs w:val="20"/>
          <w:lang w:val="en-US"/>
        </w:rPr>
        <w:t xml:space="preserve">, E. U. </w:t>
      </w:r>
      <w:proofErr w:type="spellStart"/>
      <w:r w:rsidRPr="00077F81">
        <w:rPr>
          <w:sz w:val="20"/>
          <w:szCs w:val="20"/>
          <w:lang w:val="en-US"/>
        </w:rPr>
        <w:t>Teshabayeva</w:t>
      </w:r>
      <w:proofErr w:type="spellEnd"/>
      <w:r w:rsidRPr="00077F81">
        <w:rPr>
          <w:sz w:val="20"/>
          <w:szCs w:val="20"/>
          <w:lang w:val="en-US"/>
        </w:rPr>
        <w:t xml:space="preserve">, and </w:t>
      </w:r>
      <w:proofErr w:type="spellStart"/>
      <w:r w:rsidRPr="00077F81">
        <w:rPr>
          <w:sz w:val="20"/>
          <w:szCs w:val="20"/>
          <w:lang w:val="en-US"/>
        </w:rPr>
        <w:t>Ya</w:t>
      </w:r>
      <w:proofErr w:type="spellEnd"/>
      <w:r w:rsidRPr="00077F81">
        <w:rPr>
          <w:sz w:val="20"/>
          <w:szCs w:val="20"/>
          <w:lang w:val="en-US"/>
        </w:rPr>
        <w:t xml:space="preserve">. O. </w:t>
      </w:r>
      <w:proofErr w:type="spellStart"/>
      <w:r w:rsidRPr="00077F81">
        <w:rPr>
          <w:sz w:val="20"/>
          <w:szCs w:val="20"/>
          <w:lang w:val="en-US"/>
        </w:rPr>
        <w:t>Seidabdullaev</w:t>
      </w:r>
      <w:proofErr w:type="spellEnd"/>
      <w:r w:rsidRPr="00077F81">
        <w:rPr>
          <w:sz w:val="20"/>
          <w:szCs w:val="20"/>
          <w:lang w:val="en-US"/>
        </w:rPr>
        <w:t xml:space="preserve">, </w:t>
      </w:r>
      <w:proofErr w:type="spellStart"/>
      <w:r w:rsidRPr="00077F81">
        <w:rPr>
          <w:rStyle w:val="af5"/>
          <w:sz w:val="20"/>
          <w:szCs w:val="20"/>
          <w:lang w:val="en-US"/>
        </w:rPr>
        <w:t>Kataliticheskaya</w:t>
      </w:r>
      <w:proofErr w:type="spellEnd"/>
      <w:r w:rsidRPr="00077F81">
        <w:rPr>
          <w:rStyle w:val="af5"/>
          <w:sz w:val="20"/>
          <w:szCs w:val="20"/>
          <w:lang w:val="en-US"/>
        </w:rPr>
        <w:t xml:space="preserve"> </w:t>
      </w:r>
      <w:proofErr w:type="spellStart"/>
      <w:r w:rsidRPr="00077F81">
        <w:rPr>
          <w:rStyle w:val="af5"/>
          <w:sz w:val="20"/>
          <w:szCs w:val="20"/>
          <w:lang w:val="en-US"/>
        </w:rPr>
        <w:t>aktivnost</w:t>
      </w:r>
      <w:proofErr w:type="spellEnd"/>
      <w:r w:rsidRPr="00077F81">
        <w:rPr>
          <w:rStyle w:val="af5"/>
          <w:sz w:val="20"/>
          <w:szCs w:val="20"/>
          <w:lang w:val="en-US"/>
        </w:rPr>
        <w:t xml:space="preserve">’ Mo(V), </w:t>
      </w:r>
      <w:proofErr w:type="spellStart"/>
      <w:r w:rsidRPr="00077F81">
        <w:rPr>
          <w:rStyle w:val="af5"/>
          <w:sz w:val="20"/>
          <w:szCs w:val="20"/>
          <w:lang w:val="en-US"/>
        </w:rPr>
        <w:t>zakreplennogo</w:t>
      </w:r>
      <w:proofErr w:type="spellEnd"/>
      <w:r w:rsidRPr="00077F81">
        <w:rPr>
          <w:rStyle w:val="af5"/>
          <w:sz w:val="20"/>
          <w:szCs w:val="20"/>
          <w:lang w:val="en-US"/>
        </w:rPr>
        <w:t xml:space="preserve"> </w:t>
      </w:r>
      <w:proofErr w:type="spellStart"/>
      <w:r w:rsidRPr="00077F81">
        <w:rPr>
          <w:rStyle w:val="af5"/>
          <w:sz w:val="20"/>
          <w:szCs w:val="20"/>
          <w:lang w:val="en-US"/>
        </w:rPr>
        <w:t>na</w:t>
      </w:r>
      <w:proofErr w:type="spellEnd"/>
      <w:r w:rsidRPr="00077F81">
        <w:rPr>
          <w:rStyle w:val="af5"/>
          <w:sz w:val="20"/>
          <w:szCs w:val="20"/>
          <w:lang w:val="en-US"/>
        </w:rPr>
        <w:t xml:space="preserve"> </w:t>
      </w:r>
      <w:proofErr w:type="spellStart"/>
      <w:r w:rsidRPr="00077F81">
        <w:rPr>
          <w:rStyle w:val="af5"/>
          <w:sz w:val="20"/>
          <w:szCs w:val="20"/>
          <w:lang w:val="en-US"/>
        </w:rPr>
        <w:t>neorganicheskikh</w:t>
      </w:r>
      <w:proofErr w:type="spellEnd"/>
      <w:r w:rsidRPr="00077F81">
        <w:rPr>
          <w:rStyle w:val="af5"/>
          <w:sz w:val="20"/>
          <w:szCs w:val="20"/>
          <w:lang w:val="en-US"/>
        </w:rPr>
        <w:t xml:space="preserve"> </w:t>
      </w:r>
      <w:proofErr w:type="spellStart"/>
      <w:r w:rsidRPr="00077F81">
        <w:rPr>
          <w:rStyle w:val="af5"/>
          <w:sz w:val="20"/>
          <w:szCs w:val="20"/>
          <w:lang w:val="en-US"/>
        </w:rPr>
        <w:t>napolnitelyakh</w:t>
      </w:r>
      <w:proofErr w:type="spellEnd"/>
      <w:r w:rsidRPr="00077F81">
        <w:rPr>
          <w:rStyle w:val="af5"/>
          <w:sz w:val="20"/>
          <w:szCs w:val="20"/>
          <w:lang w:val="en-US"/>
        </w:rPr>
        <w:t xml:space="preserve">, v </w:t>
      </w:r>
      <w:proofErr w:type="spellStart"/>
      <w:r w:rsidRPr="00077F81">
        <w:rPr>
          <w:rStyle w:val="af5"/>
          <w:sz w:val="20"/>
          <w:szCs w:val="20"/>
          <w:lang w:val="en-US"/>
        </w:rPr>
        <w:t>polimerizatsii</w:t>
      </w:r>
      <w:proofErr w:type="spellEnd"/>
      <w:r w:rsidRPr="00077F81">
        <w:rPr>
          <w:rStyle w:val="af5"/>
          <w:sz w:val="20"/>
          <w:szCs w:val="20"/>
          <w:lang w:val="en-US"/>
        </w:rPr>
        <w:t xml:space="preserve"> </w:t>
      </w:r>
      <w:proofErr w:type="spellStart"/>
      <w:r w:rsidRPr="00077F81">
        <w:rPr>
          <w:rStyle w:val="af5"/>
          <w:sz w:val="20"/>
          <w:szCs w:val="20"/>
          <w:lang w:val="en-US"/>
        </w:rPr>
        <w:t>pentozansoderzhashchikh</w:t>
      </w:r>
      <w:proofErr w:type="spellEnd"/>
      <w:r w:rsidRPr="00077F81">
        <w:rPr>
          <w:rStyle w:val="af5"/>
          <w:sz w:val="20"/>
          <w:szCs w:val="20"/>
          <w:lang w:val="en-US"/>
        </w:rPr>
        <w:t xml:space="preserve"> </w:t>
      </w:r>
      <w:proofErr w:type="spellStart"/>
      <w:r w:rsidRPr="00077F81">
        <w:rPr>
          <w:rStyle w:val="af5"/>
          <w:sz w:val="20"/>
          <w:szCs w:val="20"/>
          <w:lang w:val="en-US"/>
        </w:rPr>
        <w:t>monomerov</w:t>
      </w:r>
      <w:proofErr w:type="spellEnd"/>
      <w:r w:rsidRPr="00077F81">
        <w:rPr>
          <w:sz w:val="20"/>
          <w:szCs w:val="20"/>
          <w:lang w:val="en-US"/>
        </w:rPr>
        <w:t xml:space="preserve">, in </w:t>
      </w:r>
      <w:r w:rsidRPr="00077F81">
        <w:rPr>
          <w:rStyle w:val="af5"/>
          <w:sz w:val="20"/>
          <w:szCs w:val="20"/>
          <w:lang w:val="en-US"/>
        </w:rPr>
        <w:t>Proc. Int. Conf. “Catalytic Processes of Oil Refining, Petrochemistry and Ecology”</w:t>
      </w:r>
      <w:r w:rsidRPr="00077F81">
        <w:rPr>
          <w:sz w:val="20"/>
          <w:szCs w:val="20"/>
          <w:lang w:val="en-US"/>
        </w:rPr>
        <w:t xml:space="preserve"> (2013), p. 161–163.</w:t>
      </w:r>
    </w:p>
    <w:p w14:paraId="00326559" w14:textId="6066CBDA" w:rsidR="00077F81" w:rsidRPr="00077F81" w:rsidRDefault="00077F81" w:rsidP="00077F81">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E. U. </w:t>
      </w:r>
      <w:proofErr w:type="spellStart"/>
      <w:r w:rsidRPr="00077F81">
        <w:rPr>
          <w:sz w:val="20"/>
          <w:szCs w:val="20"/>
          <w:lang w:val="en-US"/>
        </w:rPr>
        <w:t>Teshabayeva</w:t>
      </w:r>
      <w:proofErr w:type="spellEnd"/>
      <w:r w:rsidRPr="00077F81">
        <w:rPr>
          <w:sz w:val="20"/>
          <w:szCs w:val="20"/>
          <w:lang w:val="en-US"/>
        </w:rPr>
        <w:t xml:space="preserve">, A. </w:t>
      </w:r>
      <w:proofErr w:type="spellStart"/>
      <w:r w:rsidRPr="00077F81">
        <w:rPr>
          <w:sz w:val="20"/>
          <w:szCs w:val="20"/>
          <w:lang w:val="en-US"/>
        </w:rPr>
        <w:t>Ibadullaev</w:t>
      </w:r>
      <w:proofErr w:type="spellEnd"/>
      <w:r w:rsidRPr="00077F81">
        <w:rPr>
          <w:sz w:val="20"/>
          <w:szCs w:val="20"/>
          <w:lang w:val="en-US"/>
        </w:rPr>
        <w:t xml:space="preserve">, and V. N. </w:t>
      </w:r>
      <w:proofErr w:type="spellStart"/>
      <w:r w:rsidRPr="00077F81">
        <w:rPr>
          <w:sz w:val="20"/>
          <w:szCs w:val="20"/>
          <w:lang w:val="en-US"/>
        </w:rPr>
        <w:t>Juraev</w:t>
      </w:r>
      <w:proofErr w:type="spellEnd"/>
      <w:r w:rsidRPr="00077F81">
        <w:rPr>
          <w:sz w:val="20"/>
          <w:szCs w:val="20"/>
          <w:lang w:val="en-US"/>
        </w:rPr>
        <w:t xml:space="preserve">, </w:t>
      </w:r>
      <w:proofErr w:type="spellStart"/>
      <w:r w:rsidRPr="00077F81">
        <w:rPr>
          <w:rStyle w:val="af5"/>
          <w:sz w:val="20"/>
          <w:szCs w:val="20"/>
          <w:lang w:val="en-US"/>
        </w:rPr>
        <w:t>Sozdanie</w:t>
      </w:r>
      <w:proofErr w:type="spellEnd"/>
      <w:r w:rsidRPr="00077F81">
        <w:rPr>
          <w:rStyle w:val="af5"/>
          <w:sz w:val="20"/>
          <w:szCs w:val="20"/>
          <w:lang w:val="en-US"/>
        </w:rPr>
        <w:t xml:space="preserve"> </w:t>
      </w:r>
      <w:proofErr w:type="spellStart"/>
      <w:r w:rsidRPr="00077F81">
        <w:rPr>
          <w:rStyle w:val="af5"/>
          <w:sz w:val="20"/>
          <w:szCs w:val="20"/>
          <w:lang w:val="en-US"/>
        </w:rPr>
        <w:t>i</w:t>
      </w:r>
      <w:proofErr w:type="spellEnd"/>
      <w:r w:rsidRPr="00077F81">
        <w:rPr>
          <w:rStyle w:val="af5"/>
          <w:sz w:val="20"/>
          <w:szCs w:val="20"/>
          <w:lang w:val="en-US"/>
        </w:rPr>
        <w:t xml:space="preserve"> </w:t>
      </w:r>
      <w:proofErr w:type="spellStart"/>
      <w:r w:rsidRPr="00077F81">
        <w:rPr>
          <w:rStyle w:val="af5"/>
          <w:sz w:val="20"/>
          <w:szCs w:val="20"/>
          <w:lang w:val="en-US"/>
        </w:rPr>
        <w:t>primenenie</w:t>
      </w:r>
      <w:proofErr w:type="spellEnd"/>
      <w:r w:rsidRPr="00077F81">
        <w:rPr>
          <w:rStyle w:val="af5"/>
          <w:sz w:val="20"/>
          <w:szCs w:val="20"/>
          <w:lang w:val="en-US"/>
        </w:rPr>
        <w:t xml:space="preserve"> </w:t>
      </w:r>
      <w:proofErr w:type="spellStart"/>
      <w:r w:rsidRPr="00077F81">
        <w:rPr>
          <w:rStyle w:val="af5"/>
          <w:sz w:val="20"/>
          <w:szCs w:val="20"/>
          <w:lang w:val="en-US"/>
        </w:rPr>
        <w:t>ingredientov</w:t>
      </w:r>
      <w:proofErr w:type="spellEnd"/>
      <w:r w:rsidRPr="00077F81">
        <w:rPr>
          <w:rStyle w:val="af5"/>
          <w:sz w:val="20"/>
          <w:szCs w:val="20"/>
          <w:lang w:val="en-US"/>
        </w:rPr>
        <w:t xml:space="preserve"> </w:t>
      </w:r>
      <w:proofErr w:type="spellStart"/>
      <w:r w:rsidRPr="00077F81">
        <w:rPr>
          <w:rStyle w:val="af5"/>
          <w:sz w:val="20"/>
          <w:szCs w:val="20"/>
          <w:lang w:val="en-US"/>
        </w:rPr>
        <w:t>na</w:t>
      </w:r>
      <w:proofErr w:type="spellEnd"/>
      <w:r w:rsidRPr="00077F81">
        <w:rPr>
          <w:rStyle w:val="af5"/>
          <w:sz w:val="20"/>
          <w:szCs w:val="20"/>
          <w:lang w:val="en-US"/>
        </w:rPr>
        <w:t xml:space="preserve"> </w:t>
      </w:r>
      <w:proofErr w:type="spellStart"/>
      <w:r w:rsidRPr="00077F81">
        <w:rPr>
          <w:rStyle w:val="af5"/>
          <w:sz w:val="20"/>
          <w:szCs w:val="20"/>
          <w:lang w:val="en-US"/>
        </w:rPr>
        <w:t>osnove</w:t>
      </w:r>
      <w:proofErr w:type="spellEnd"/>
      <w:r w:rsidRPr="00077F81">
        <w:rPr>
          <w:rStyle w:val="af5"/>
          <w:sz w:val="20"/>
          <w:szCs w:val="20"/>
          <w:lang w:val="en-US"/>
        </w:rPr>
        <w:t xml:space="preserve"> </w:t>
      </w:r>
      <w:proofErr w:type="spellStart"/>
      <w:r w:rsidRPr="00077F81">
        <w:rPr>
          <w:rStyle w:val="af5"/>
          <w:sz w:val="20"/>
          <w:szCs w:val="20"/>
          <w:lang w:val="en-US"/>
        </w:rPr>
        <w:t>mestnykh</w:t>
      </w:r>
      <w:proofErr w:type="spellEnd"/>
      <w:r w:rsidRPr="00077F81">
        <w:rPr>
          <w:rStyle w:val="af5"/>
          <w:sz w:val="20"/>
          <w:szCs w:val="20"/>
          <w:lang w:val="en-US"/>
        </w:rPr>
        <w:t xml:space="preserve"> </w:t>
      </w:r>
      <w:proofErr w:type="spellStart"/>
      <w:r w:rsidRPr="00077F81">
        <w:rPr>
          <w:rStyle w:val="af5"/>
          <w:sz w:val="20"/>
          <w:szCs w:val="20"/>
          <w:lang w:val="en-US"/>
        </w:rPr>
        <w:t>syr’evykh</w:t>
      </w:r>
      <w:proofErr w:type="spellEnd"/>
      <w:r w:rsidRPr="00077F81">
        <w:rPr>
          <w:rStyle w:val="af5"/>
          <w:sz w:val="20"/>
          <w:szCs w:val="20"/>
          <w:lang w:val="en-US"/>
        </w:rPr>
        <w:t xml:space="preserve"> </w:t>
      </w:r>
      <w:proofErr w:type="spellStart"/>
      <w:r w:rsidRPr="00077F81">
        <w:rPr>
          <w:rStyle w:val="af5"/>
          <w:sz w:val="20"/>
          <w:szCs w:val="20"/>
          <w:lang w:val="en-US"/>
        </w:rPr>
        <w:t>resursov</w:t>
      </w:r>
      <w:proofErr w:type="spellEnd"/>
      <w:r w:rsidRPr="00077F81">
        <w:rPr>
          <w:rStyle w:val="af5"/>
          <w:sz w:val="20"/>
          <w:szCs w:val="20"/>
          <w:lang w:val="en-US"/>
        </w:rPr>
        <w:t xml:space="preserve"> </w:t>
      </w:r>
      <w:proofErr w:type="spellStart"/>
      <w:r w:rsidRPr="00077F81">
        <w:rPr>
          <w:rStyle w:val="af5"/>
          <w:sz w:val="20"/>
          <w:szCs w:val="20"/>
          <w:lang w:val="en-US"/>
        </w:rPr>
        <w:t>i</w:t>
      </w:r>
      <w:proofErr w:type="spellEnd"/>
      <w:r w:rsidRPr="00077F81">
        <w:rPr>
          <w:rStyle w:val="af5"/>
          <w:sz w:val="20"/>
          <w:szCs w:val="20"/>
          <w:lang w:val="en-US"/>
        </w:rPr>
        <w:t xml:space="preserve"> </w:t>
      </w:r>
      <w:proofErr w:type="spellStart"/>
      <w:r w:rsidRPr="00077F81">
        <w:rPr>
          <w:rStyle w:val="af5"/>
          <w:sz w:val="20"/>
          <w:szCs w:val="20"/>
          <w:lang w:val="en-US"/>
        </w:rPr>
        <w:t>otkhodov</w:t>
      </w:r>
      <w:proofErr w:type="spellEnd"/>
      <w:r w:rsidRPr="00077F81">
        <w:rPr>
          <w:rStyle w:val="af5"/>
          <w:sz w:val="20"/>
          <w:szCs w:val="20"/>
          <w:lang w:val="en-US"/>
        </w:rPr>
        <w:t xml:space="preserve"> </w:t>
      </w:r>
      <w:proofErr w:type="spellStart"/>
      <w:r w:rsidRPr="00077F81">
        <w:rPr>
          <w:rStyle w:val="af5"/>
          <w:sz w:val="20"/>
          <w:szCs w:val="20"/>
          <w:lang w:val="en-US"/>
        </w:rPr>
        <w:t>proizvodstv</w:t>
      </w:r>
      <w:proofErr w:type="spellEnd"/>
      <w:r w:rsidRPr="00077F81">
        <w:rPr>
          <w:rStyle w:val="af5"/>
          <w:sz w:val="20"/>
          <w:szCs w:val="20"/>
          <w:lang w:val="en-US"/>
        </w:rPr>
        <w:t xml:space="preserve"> v </w:t>
      </w:r>
      <w:proofErr w:type="spellStart"/>
      <w:r w:rsidRPr="00077F81">
        <w:rPr>
          <w:rStyle w:val="af5"/>
          <w:sz w:val="20"/>
          <w:szCs w:val="20"/>
          <w:lang w:val="en-US"/>
        </w:rPr>
        <w:t>elastomernykh</w:t>
      </w:r>
      <w:proofErr w:type="spellEnd"/>
      <w:r w:rsidRPr="00077F81">
        <w:rPr>
          <w:rStyle w:val="af5"/>
          <w:sz w:val="20"/>
          <w:szCs w:val="20"/>
          <w:lang w:val="en-US"/>
        </w:rPr>
        <w:t xml:space="preserve"> </w:t>
      </w:r>
      <w:proofErr w:type="spellStart"/>
      <w:r w:rsidRPr="00077F81">
        <w:rPr>
          <w:rStyle w:val="af5"/>
          <w:sz w:val="20"/>
          <w:szCs w:val="20"/>
          <w:lang w:val="en-US"/>
        </w:rPr>
        <w:t>kompozitsionnykh</w:t>
      </w:r>
      <w:proofErr w:type="spellEnd"/>
      <w:r w:rsidRPr="00077F81">
        <w:rPr>
          <w:rStyle w:val="af5"/>
          <w:sz w:val="20"/>
          <w:szCs w:val="20"/>
          <w:lang w:val="en-US"/>
        </w:rPr>
        <w:t xml:space="preserve"> </w:t>
      </w:r>
      <w:proofErr w:type="spellStart"/>
      <w:r w:rsidRPr="00077F81">
        <w:rPr>
          <w:rStyle w:val="af5"/>
          <w:sz w:val="20"/>
          <w:szCs w:val="20"/>
          <w:lang w:val="en-US"/>
        </w:rPr>
        <w:t>materialakh</w:t>
      </w:r>
      <w:proofErr w:type="spellEnd"/>
      <w:r w:rsidRPr="00077F81">
        <w:rPr>
          <w:sz w:val="20"/>
          <w:szCs w:val="20"/>
          <w:lang w:val="en-US"/>
        </w:rPr>
        <w:t xml:space="preserve">, </w:t>
      </w:r>
      <w:proofErr w:type="spellStart"/>
      <w:r w:rsidRPr="00077F81">
        <w:rPr>
          <w:rStyle w:val="af5"/>
          <w:sz w:val="20"/>
          <w:szCs w:val="20"/>
          <w:lang w:val="en-US"/>
        </w:rPr>
        <w:t>Khim</w:t>
      </w:r>
      <w:proofErr w:type="spellEnd"/>
      <w:r w:rsidRPr="00077F81">
        <w:rPr>
          <w:rStyle w:val="af5"/>
          <w:sz w:val="20"/>
          <w:szCs w:val="20"/>
          <w:lang w:val="en-US"/>
        </w:rPr>
        <w:t xml:space="preserve">. </w:t>
      </w:r>
      <w:proofErr w:type="spellStart"/>
      <w:r w:rsidRPr="00077F81">
        <w:rPr>
          <w:rStyle w:val="af5"/>
          <w:sz w:val="20"/>
          <w:szCs w:val="20"/>
          <w:lang w:val="en-US"/>
        </w:rPr>
        <w:t>Khim</w:t>
      </w:r>
      <w:proofErr w:type="spellEnd"/>
      <w:r w:rsidRPr="00077F81">
        <w:rPr>
          <w:rStyle w:val="af5"/>
          <w:sz w:val="20"/>
          <w:szCs w:val="20"/>
          <w:lang w:val="en-US"/>
        </w:rPr>
        <w:t xml:space="preserve">. </w:t>
      </w:r>
      <w:proofErr w:type="spellStart"/>
      <w:r w:rsidRPr="00077F81">
        <w:rPr>
          <w:rStyle w:val="af5"/>
          <w:sz w:val="20"/>
          <w:szCs w:val="20"/>
          <w:lang w:val="en-US"/>
        </w:rPr>
        <w:t>Tekhnol</w:t>
      </w:r>
      <w:proofErr w:type="spellEnd"/>
      <w:r w:rsidRPr="00077F81">
        <w:rPr>
          <w:rStyle w:val="af5"/>
          <w:sz w:val="20"/>
          <w:szCs w:val="20"/>
          <w:lang w:val="en-US"/>
        </w:rPr>
        <w:t>.</w:t>
      </w:r>
      <w:r w:rsidRPr="00077F81">
        <w:rPr>
          <w:sz w:val="20"/>
          <w:szCs w:val="20"/>
          <w:lang w:val="en-US"/>
        </w:rPr>
        <w:t>, 66–71 (2016).</w:t>
      </w:r>
    </w:p>
    <w:p w14:paraId="359E4766" w14:textId="7726A281" w:rsidR="002B38D6" w:rsidRPr="001B7B1F" w:rsidRDefault="00077F81" w:rsidP="001B7B1F">
      <w:pPr>
        <w:pStyle w:val="ac"/>
        <w:numPr>
          <w:ilvl w:val="0"/>
          <w:numId w:val="4"/>
        </w:numPr>
        <w:spacing w:before="0" w:beforeAutospacing="0" w:after="0" w:afterAutospacing="0"/>
        <w:ind w:left="425" w:hanging="425"/>
        <w:jc w:val="both"/>
        <w:rPr>
          <w:sz w:val="20"/>
          <w:szCs w:val="20"/>
          <w:lang w:val="en-US"/>
        </w:rPr>
      </w:pPr>
      <w:r w:rsidRPr="00077F81">
        <w:rPr>
          <w:sz w:val="20"/>
          <w:szCs w:val="20"/>
          <w:lang w:val="en-US"/>
        </w:rPr>
        <w:t xml:space="preserve">A. </w:t>
      </w:r>
      <w:proofErr w:type="spellStart"/>
      <w:r w:rsidRPr="00077F81">
        <w:rPr>
          <w:sz w:val="20"/>
          <w:szCs w:val="20"/>
          <w:lang w:val="en-US"/>
        </w:rPr>
        <w:t>Kh</w:t>
      </w:r>
      <w:proofErr w:type="spellEnd"/>
      <w:r w:rsidRPr="00077F81">
        <w:rPr>
          <w:sz w:val="20"/>
          <w:szCs w:val="20"/>
          <w:lang w:val="en-US"/>
        </w:rPr>
        <w:t xml:space="preserve">. </w:t>
      </w:r>
      <w:proofErr w:type="spellStart"/>
      <w:r w:rsidRPr="00077F81">
        <w:rPr>
          <w:sz w:val="20"/>
          <w:szCs w:val="20"/>
          <w:lang w:val="en-US"/>
        </w:rPr>
        <w:t>Yusupbekov</w:t>
      </w:r>
      <w:proofErr w:type="spellEnd"/>
      <w:r w:rsidRPr="00077F81">
        <w:rPr>
          <w:sz w:val="20"/>
          <w:szCs w:val="20"/>
          <w:lang w:val="en-US"/>
        </w:rPr>
        <w:t xml:space="preserve">, D. </w:t>
      </w:r>
      <w:proofErr w:type="spellStart"/>
      <w:r w:rsidRPr="00077F81">
        <w:rPr>
          <w:sz w:val="20"/>
          <w:szCs w:val="20"/>
          <w:lang w:val="en-US"/>
        </w:rPr>
        <w:t>Ya</w:t>
      </w:r>
      <w:proofErr w:type="spellEnd"/>
      <w:r w:rsidRPr="00077F81">
        <w:rPr>
          <w:sz w:val="20"/>
          <w:szCs w:val="20"/>
          <w:lang w:val="en-US"/>
        </w:rPr>
        <w:t xml:space="preserve">. </w:t>
      </w:r>
      <w:proofErr w:type="spellStart"/>
      <w:r w:rsidRPr="00077F81">
        <w:rPr>
          <w:sz w:val="20"/>
          <w:szCs w:val="20"/>
          <w:lang w:val="en-US"/>
        </w:rPr>
        <w:t>Yuldashev</w:t>
      </w:r>
      <w:proofErr w:type="spellEnd"/>
      <w:r w:rsidRPr="00077F81">
        <w:rPr>
          <w:sz w:val="20"/>
          <w:szCs w:val="20"/>
          <w:lang w:val="en-US"/>
        </w:rPr>
        <w:t xml:space="preserve">, and F. Z. </w:t>
      </w:r>
      <w:proofErr w:type="spellStart"/>
      <w:r w:rsidRPr="00077F81">
        <w:rPr>
          <w:sz w:val="20"/>
          <w:szCs w:val="20"/>
          <w:lang w:val="en-US"/>
        </w:rPr>
        <w:t>Yusupbekova</w:t>
      </w:r>
      <w:proofErr w:type="spellEnd"/>
      <w:r w:rsidRPr="00077F81">
        <w:rPr>
          <w:sz w:val="20"/>
          <w:szCs w:val="20"/>
          <w:lang w:val="en-US"/>
        </w:rPr>
        <w:t xml:space="preserve">, </w:t>
      </w:r>
      <w:proofErr w:type="spellStart"/>
      <w:r w:rsidRPr="00077F81">
        <w:rPr>
          <w:rStyle w:val="af5"/>
          <w:sz w:val="20"/>
          <w:szCs w:val="20"/>
          <w:lang w:val="en-US"/>
        </w:rPr>
        <w:t>Rol</w:t>
      </w:r>
      <w:proofErr w:type="spellEnd"/>
      <w:r w:rsidRPr="00077F81">
        <w:rPr>
          <w:rStyle w:val="af5"/>
          <w:sz w:val="20"/>
          <w:szCs w:val="20"/>
          <w:lang w:val="en-US"/>
        </w:rPr>
        <w:t xml:space="preserve">’ </w:t>
      </w:r>
      <w:proofErr w:type="spellStart"/>
      <w:r w:rsidRPr="00077F81">
        <w:rPr>
          <w:rStyle w:val="af5"/>
          <w:sz w:val="20"/>
          <w:szCs w:val="20"/>
          <w:lang w:val="en-US"/>
        </w:rPr>
        <w:t>poverkhnostno-aktivnykh</w:t>
      </w:r>
      <w:proofErr w:type="spellEnd"/>
      <w:r w:rsidRPr="00077F81">
        <w:rPr>
          <w:rStyle w:val="af5"/>
          <w:sz w:val="20"/>
          <w:szCs w:val="20"/>
          <w:lang w:val="en-US"/>
        </w:rPr>
        <w:t xml:space="preserve"> </w:t>
      </w:r>
      <w:proofErr w:type="spellStart"/>
      <w:r w:rsidRPr="00077F81">
        <w:rPr>
          <w:rStyle w:val="af5"/>
          <w:sz w:val="20"/>
          <w:szCs w:val="20"/>
          <w:lang w:val="en-US"/>
        </w:rPr>
        <w:t>veshchestv</w:t>
      </w:r>
      <w:proofErr w:type="spellEnd"/>
      <w:r w:rsidRPr="00077F81">
        <w:rPr>
          <w:rStyle w:val="af5"/>
          <w:sz w:val="20"/>
          <w:szCs w:val="20"/>
          <w:lang w:val="en-US"/>
        </w:rPr>
        <w:t xml:space="preserve"> </w:t>
      </w:r>
      <w:proofErr w:type="spellStart"/>
      <w:r w:rsidRPr="00077F81">
        <w:rPr>
          <w:rStyle w:val="af5"/>
          <w:sz w:val="20"/>
          <w:szCs w:val="20"/>
          <w:lang w:val="en-US"/>
        </w:rPr>
        <w:t>pri</w:t>
      </w:r>
      <w:proofErr w:type="spellEnd"/>
      <w:r w:rsidRPr="00077F81">
        <w:rPr>
          <w:rStyle w:val="af5"/>
          <w:sz w:val="20"/>
          <w:szCs w:val="20"/>
          <w:lang w:val="en-US"/>
        </w:rPr>
        <w:t xml:space="preserve"> </w:t>
      </w:r>
      <w:proofErr w:type="spellStart"/>
      <w:r w:rsidRPr="00077F81">
        <w:rPr>
          <w:rStyle w:val="af5"/>
          <w:sz w:val="20"/>
          <w:szCs w:val="20"/>
          <w:lang w:val="en-US"/>
        </w:rPr>
        <w:t>sozdanii</w:t>
      </w:r>
      <w:proofErr w:type="spellEnd"/>
      <w:r w:rsidRPr="00077F81">
        <w:rPr>
          <w:rStyle w:val="af5"/>
          <w:sz w:val="20"/>
          <w:szCs w:val="20"/>
          <w:lang w:val="en-US"/>
        </w:rPr>
        <w:t xml:space="preserve"> </w:t>
      </w:r>
      <w:proofErr w:type="spellStart"/>
      <w:r w:rsidRPr="00077F81">
        <w:rPr>
          <w:rStyle w:val="af5"/>
          <w:sz w:val="20"/>
          <w:szCs w:val="20"/>
          <w:lang w:val="en-US"/>
        </w:rPr>
        <w:t>energosberegayushchey</w:t>
      </w:r>
      <w:proofErr w:type="spellEnd"/>
      <w:r w:rsidRPr="00077F81">
        <w:rPr>
          <w:rStyle w:val="af5"/>
          <w:sz w:val="20"/>
          <w:szCs w:val="20"/>
          <w:lang w:val="en-US"/>
        </w:rPr>
        <w:t xml:space="preserve"> </w:t>
      </w:r>
      <w:proofErr w:type="spellStart"/>
      <w:r w:rsidRPr="00077F81">
        <w:rPr>
          <w:rStyle w:val="af5"/>
          <w:sz w:val="20"/>
          <w:szCs w:val="20"/>
          <w:lang w:val="en-US"/>
        </w:rPr>
        <w:t>tekhnologii</w:t>
      </w:r>
      <w:proofErr w:type="spellEnd"/>
      <w:r w:rsidRPr="00077F81">
        <w:rPr>
          <w:rStyle w:val="af5"/>
          <w:sz w:val="20"/>
          <w:szCs w:val="20"/>
          <w:lang w:val="en-US"/>
        </w:rPr>
        <w:t xml:space="preserve"> </w:t>
      </w:r>
      <w:proofErr w:type="spellStart"/>
      <w:r w:rsidRPr="00077F81">
        <w:rPr>
          <w:rStyle w:val="af5"/>
          <w:sz w:val="20"/>
          <w:szCs w:val="20"/>
          <w:lang w:val="en-US"/>
        </w:rPr>
        <w:t>polucheniya</w:t>
      </w:r>
      <w:proofErr w:type="spellEnd"/>
      <w:r w:rsidRPr="00077F81">
        <w:rPr>
          <w:rStyle w:val="af5"/>
          <w:sz w:val="20"/>
          <w:szCs w:val="20"/>
          <w:lang w:val="en-US"/>
        </w:rPr>
        <w:t xml:space="preserve"> </w:t>
      </w:r>
      <w:proofErr w:type="spellStart"/>
      <w:r w:rsidRPr="00077F81">
        <w:rPr>
          <w:rStyle w:val="af5"/>
          <w:sz w:val="20"/>
          <w:szCs w:val="20"/>
          <w:lang w:val="en-US"/>
        </w:rPr>
        <w:t>kompozitsionnykh</w:t>
      </w:r>
      <w:proofErr w:type="spellEnd"/>
      <w:r w:rsidRPr="00077F81">
        <w:rPr>
          <w:rStyle w:val="af5"/>
          <w:sz w:val="20"/>
          <w:szCs w:val="20"/>
          <w:lang w:val="en-US"/>
        </w:rPr>
        <w:t xml:space="preserve"> </w:t>
      </w:r>
      <w:proofErr w:type="spellStart"/>
      <w:r w:rsidRPr="00077F81">
        <w:rPr>
          <w:rStyle w:val="af5"/>
          <w:sz w:val="20"/>
          <w:szCs w:val="20"/>
          <w:lang w:val="en-US"/>
        </w:rPr>
        <w:t>elastomernykh</w:t>
      </w:r>
      <w:proofErr w:type="spellEnd"/>
      <w:r w:rsidRPr="00077F81">
        <w:rPr>
          <w:rStyle w:val="af5"/>
          <w:sz w:val="20"/>
          <w:szCs w:val="20"/>
          <w:lang w:val="en-US"/>
        </w:rPr>
        <w:t xml:space="preserve"> </w:t>
      </w:r>
      <w:proofErr w:type="spellStart"/>
      <w:r w:rsidRPr="00077F81">
        <w:rPr>
          <w:rStyle w:val="af5"/>
          <w:sz w:val="20"/>
          <w:szCs w:val="20"/>
          <w:lang w:val="en-US"/>
        </w:rPr>
        <w:t>materialov</w:t>
      </w:r>
      <w:proofErr w:type="spellEnd"/>
      <w:r w:rsidRPr="00077F81">
        <w:rPr>
          <w:sz w:val="20"/>
          <w:szCs w:val="20"/>
          <w:lang w:val="en-US"/>
        </w:rPr>
        <w:t xml:space="preserve">, </w:t>
      </w:r>
      <w:proofErr w:type="spellStart"/>
      <w:r w:rsidRPr="00077F81">
        <w:rPr>
          <w:rStyle w:val="af5"/>
          <w:sz w:val="20"/>
          <w:szCs w:val="20"/>
          <w:lang w:val="en-US"/>
        </w:rPr>
        <w:t>Kompozitsionnye</w:t>
      </w:r>
      <w:proofErr w:type="spellEnd"/>
      <w:r w:rsidRPr="00077F81">
        <w:rPr>
          <w:rStyle w:val="af5"/>
          <w:sz w:val="20"/>
          <w:szCs w:val="20"/>
          <w:lang w:val="en-US"/>
        </w:rPr>
        <w:t xml:space="preserve"> </w:t>
      </w:r>
      <w:proofErr w:type="spellStart"/>
      <w:r w:rsidRPr="00077F81">
        <w:rPr>
          <w:rStyle w:val="af5"/>
          <w:sz w:val="20"/>
          <w:szCs w:val="20"/>
          <w:lang w:val="en-US"/>
        </w:rPr>
        <w:t>materialy</w:t>
      </w:r>
      <w:proofErr w:type="spellEnd"/>
      <w:r w:rsidRPr="00077F81">
        <w:rPr>
          <w:sz w:val="20"/>
          <w:szCs w:val="20"/>
          <w:lang w:val="en-US"/>
        </w:rPr>
        <w:t xml:space="preserve"> </w:t>
      </w:r>
      <w:r w:rsidRPr="00077F81">
        <w:rPr>
          <w:rStyle w:val="a9"/>
          <w:sz w:val="20"/>
          <w:szCs w:val="20"/>
          <w:lang w:val="en-US"/>
        </w:rPr>
        <w:t>4</w:t>
      </w:r>
      <w:r w:rsidRPr="00077F81">
        <w:rPr>
          <w:sz w:val="20"/>
          <w:szCs w:val="20"/>
          <w:lang w:val="en-US"/>
        </w:rPr>
        <w:t>, 14–18 (2001).</w:t>
      </w:r>
    </w:p>
    <w:sectPr w:rsidR="002B38D6" w:rsidRPr="001B7B1F" w:rsidSect="00846087">
      <w:pgSz w:w="11907" w:h="16840"/>
      <w:pgMar w:top="1276" w:right="992" w:bottom="1276" w:left="1276"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CBF2" w14:textId="77777777" w:rsidR="0000440F" w:rsidRDefault="0000440F">
      <w:r>
        <w:separator/>
      </w:r>
    </w:p>
  </w:endnote>
  <w:endnote w:type="continuationSeparator" w:id="0">
    <w:p w14:paraId="28917B01" w14:textId="77777777" w:rsidR="0000440F" w:rsidRDefault="0000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Klee One"/>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A07A6" w14:textId="77777777" w:rsidR="0000440F" w:rsidRDefault="0000440F">
      <w:r>
        <w:separator/>
      </w:r>
    </w:p>
  </w:footnote>
  <w:footnote w:type="continuationSeparator" w:id="0">
    <w:p w14:paraId="0C8F7A97" w14:textId="77777777" w:rsidR="0000440F" w:rsidRDefault="00004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47E5"/>
    <w:multiLevelType w:val="hybridMultilevel"/>
    <w:tmpl w:val="E0861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33178E"/>
    <w:multiLevelType w:val="hybridMultilevel"/>
    <w:tmpl w:val="6024E2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A672AC"/>
    <w:multiLevelType w:val="multilevel"/>
    <w:tmpl w:val="24EE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5F6F6F"/>
    <w:multiLevelType w:val="hybridMultilevel"/>
    <w:tmpl w:val="731C5CA6"/>
    <w:lvl w:ilvl="0" w:tplc="BDDC32AA">
      <w:start w:val="1"/>
      <w:numFmt w:val="decimal"/>
      <w:lvlText w:val="%1."/>
      <w:lvlJc w:val="left"/>
      <w:pPr>
        <w:ind w:left="505" w:hanging="221"/>
      </w:pPr>
      <w:rPr>
        <w:rFonts w:ascii="Times New Roman" w:eastAsia="Times New Roman" w:hAnsi="Times New Roman" w:cs="Times New Roman" w:hint="default"/>
        <w:b w:val="0"/>
        <w:bCs w:val="0"/>
        <w:i w:val="0"/>
        <w:iCs w:val="0"/>
        <w:spacing w:val="0"/>
        <w:w w:val="99"/>
        <w:sz w:val="22"/>
        <w:szCs w:val="22"/>
        <w:lang w:val="ru-RU" w:eastAsia="en-US" w:bidi="ar-SA"/>
      </w:rPr>
    </w:lvl>
    <w:lvl w:ilvl="1" w:tplc="1B388D4E">
      <w:numFmt w:val="bullet"/>
      <w:lvlText w:val="•"/>
      <w:lvlJc w:val="left"/>
      <w:pPr>
        <w:ind w:left="1399" w:hanging="221"/>
      </w:pPr>
      <w:rPr>
        <w:rFonts w:hint="default"/>
        <w:lang w:val="ru-RU" w:eastAsia="en-US" w:bidi="ar-SA"/>
      </w:rPr>
    </w:lvl>
    <w:lvl w:ilvl="2" w:tplc="6C7C3232">
      <w:numFmt w:val="bullet"/>
      <w:lvlText w:val="•"/>
      <w:lvlJc w:val="left"/>
      <w:pPr>
        <w:ind w:left="2299" w:hanging="221"/>
      </w:pPr>
      <w:rPr>
        <w:rFonts w:hint="default"/>
        <w:lang w:val="ru-RU" w:eastAsia="en-US" w:bidi="ar-SA"/>
      </w:rPr>
    </w:lvl>
    <w:lvl w:ilvl="3" w:tplc="04E88248">
      <w:numFmt w:val="bullet"/>
      <w:lvlText w:val="•"/>
      <w:lvlJc w:val="left"/>
      <w:pPr>
        <w:ind w:left="3199" w:hanging="221"/>
      </w:pPr>
      <w:rPr>
        <w:rFonts w:hint="default"/>
        <w:lang w:val="ru-RU" w:eastAsia="en-US" w:bidi="ar-SA"/>
      </w:rPr>
    </w:lvl>
    <w:lvl w:ilvl="4" w:tplc="7520B6C6">
      <w:numFmt w:val="bullet"/>
      <w:lvlText w:val="•"/>
      <w:lvlJc w:val="left"/>
      <w:pPr>
        <w:ind w:left="4099" w:hanging="221"/>
      </w:pPr>
      <w:rPr>
        <w:rFonts w:hint="default"/>
        <w:lang w:val="ru-RU" w:eastAsia="en-US" w:bidi="ar-SA"/>
      </w:rPr>
    </w:lvl>
    <w:lvl w:ilvl="5" w:tplc="626401B4">
      <w:numFmt w:val="bullet"/>
      <w:lvlText w:val="•"/>
      <w:lvlJc w:val="left"/>
      <w:pPr>
        <w:ind w:left="4999" w:hanging="221"/>
      </w:pPr>
      <w:rPr>
        <w:rFonts w:hint="default"/>
        <w:lang w:val="ru-RU" w:eastAsia="en-US" w:bidi="ar-SA"/>
      </w:rPr>
    </w:lvl>
    <w:lvl w:ilvl="6" w:tplc="96B8B5D8">
      <w:numFmt w:val="bullet"/>
      <w:lvlText w:val="•"/>
      <w:lvlJc w:val="left"/>
      <w:pPr>
        <w:ind w:left="5899" w:hanging="221"/>
      </w:pPr>
      <w:rPr>
        <w:rFonts w:hint="default"/>
        <w:lang w:val="ru-RU" w:eastAsia="en-US" w:bidi="ar-SA"/>
      </w:rPr>
    </w:lvl>
    <w:lvl w:ilvl="7" w:tplc="CBBA1780">
      <w:numFmt w:val="bullet"/>
      <w:lvlText w:val="•"/>
      <w:lvlJc w:val="left"/>
      <w:pPr>
        <w:ind w:left="6798" w:hanging="221"/>
      </w:pPr>
      <w:rPr>
        <w:rFonts w:hint="default"/>
        <w:lang w:val="ru-RU" w:eastAsia="en-US" w:bidi="ar-SA"/>
      </w:rPr>
    </w:lvl>
    <w:lvl w:ilvl="8" w:tplc="E85C96B0">
      <w:numFmt w:val="bullet"/>
      <w:lvlText w:val="•"/>
      <w:lvlJc w:val="left"/>
      <w:pPr>
        <w:ind w:left="7698" w:hanging="221"/>
      </w:pPr>
      <w:rPr>
        <w:rFonts w:hint="default"/>
        <w:lang w:val="ru-RU" w:eastAsia="en-US" w:bidi="ar-SA"/>
      </w:rPr>
    </w:lvl>
  </w:abstractNum>
  <w:abstractNum w:abstractNumId="4"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440F"/>
    <w:rsid w:val="0005303B"/>
    <w:rsid w:val="00072CE7"/>
    <w:rsid w:val="00077F81"/>
    <w:rsid w:val="00084420"/>
    <w:rsid w:val="00095C0F"/>
    <w:rsid w:val="000B2FC1"/>
    <w:rsid w:val="000B40B0"/>
    <w:rsid w:val="000B4309"/>
    <w:rsid w:val="0011016A"/>
    <w:rsid w:val="00144C2B"/>
    <w:rsid w:val="00163CE6"/>
    <w:rsid w:val="001920AD"/>
    <w:rsid w:val="001A6B61"/>
    <w:rsid w:val="001B7B1F"/>
    <w:rsid w:val="001D7568"/>
    <w:rsid w:val="001E1BCB"/>
    <w:rsid w:val="001F3B10"/>
    <w:rsid w:val="00235403"/>
    <w:rsid w:val="00274BE6"/>
    <w:rsid w:val="00276A42"/>
    <w:rsid w:val="002B38D6"/>
    <w:rsid w:val="002D1DDA"/>
    <w:rsid w:val="002E2798"/>
    <w:rsid w:val="002F5A43"/>
    <w:rsid w:val="00306751"/>
    <w:rsid w:val="00382482"/>
    <w:rsid w:val="003A44C1"/>
    <w:rsid w:val="003B2441"/>
    <w:rsid w:val="003F6694"/>
    <w:rsid w:val="0042530D"/>
    <w:rsid w:val="004378C5"/>
    <w:rsid w:val="00457DF3"/>
    <w:rsid w:val="00472F54"/>
    <w:rsid w:val="00477B4B"/>
    <w:rsid w:val="004B7152"/>
    <w:rsid w:val="004D5774"/>
    <w:rsid w:val="004D6417"/>
    <w:rsid w:val="004D6820"/>
    <w:rsid w:val="004E0685"/>
    <w:rsid w:val="005C5ABC"/>
    <w:rsid w:val="005D6619"/>
    <w:rsid w:val="005E0156"/>
    <w:rsid w:val="00686CE0"/>
    <w:rsid w:val="006B4255"/>
    <w:rsid w:val="006C1055"/>
    <w:rsid w:val="006E4095"/>
    <w:rsid w:val="006F477D"/>
    <w:rsid w:val="00701CD3"/>
    <w:rsid w:val="00702420"/>
    <w:rsid w:val="00731E8D"/>
    <w:rsid w:val="00810365"/>
    <w:rsid w:val="008153B4"/>
    <w:rsid w:val="00824D1D"/>
    <w:rsid w:val="00846087"/>
    <w:rsid w:val="00865ABD"/>
    <w:rsid w:val="00870FC2"/>
    <w:rsid w:val="008C45C8"/>
    <w:rsid w:val="008F09B6"/>
    <w:rsid w:val="0095016F"/>
    <w:rsid w:val="00970E70"/>
    <w:rsid w:val="009809A4"/>
    <w:rsid w:val="00A02F91"/>
    <w:rsid w:val="00A037AD"/>
    <w:rsid w:val="00A1438B"/>
    <w:rsid w:val="00AD1CB3"/>
    <w:rsid w:val="00B12F17"/>
    <w:rsid w:val="00B17912"/>
    <w:rsid w:val="00B30436"/>
    <w:rsid w:val="00B359FC"/>
    <w:rsid w:val="00BE3AD5"/>
    <w:rsid w:val="00C077D6"/>
    <w:rsid w:val="00C30CDC"/>
    <w:rsid w:val="00C47B64"/>
    <w:rsid w:val="00C81BC4"/>
    <w:rsid w:val="00CC5038"/>
    <w:rsid w:val="00CC6C27"/>
    <w:rsid w:val="00D1237A"/>
    <w:rsid w:val="00D61950"/>
    <w:rsid w:val="00D9269C"/>
    <w:rsid w:val="00DA1F38"/>
    <w:rsid w:val="00E10DC6"/>
    <w:rsid w:val="00E2789E"/>
    <w:rsid w:val="00E34B74"/>
    <w:rsid w:val="00E9714C"/>
    <w:rsid w:val="00EE46A3"/>
    <w:rsid w:val="00EE4FD7"/>
    <w:rsid w:val="00EE61B2"/>
    <w:rsid w:val="00F37C82"/>
    <w:rsid w:val="00F62D15"/>
    <w:rsid w:val="00F91E39"/>
    <w:rsid w:val="00F92627"/>
    <w:rsid w:val="00FC7E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4EDE"/>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Strong"/>
    <w:basedOn w:val="a0"/>
    <w:uiPriority w:val="22"/>
    <w:qFormat/>
    <w:rsid w:val="006B4255"/>
    <w:rPr>
      <w:b/>
      <w:bCs/>
    </w:rPr>
  </w:style>
  <w:style w:type="character" w:customStyle="1" w:styleId="fontstyle01">
    <w:name w:val="fontstyle01"/>
    <w:basedOn w:val="a0"/>
    <w:rsid w:val="00F37C82"/>
    <w:rPr>
      <w:rFonts w:ascii="TimesNewRomanPSMT" w:hAnsi="TimesNewRomanPSMT" w:hint="default"/>
      <w:b w:val="0"/>
      <w:bCs w:val="0"/>
      <w:i w:val="0"/>
      <w:iCs w:val="0"/>
      <w:color w:val="000000"/>
      <w:sz w:val="22"/>
      <w:szCs w:val="22"/>
    </w:rPr>
  </w:style>
  <w:style w:type="character" w:customStyle="1" w:styleId="aa">
    <w:name w:val="Абзац списка Знак"/>
    <w:aliases w:val="List Paragraph1 Знак,List_Paragraph Знак,Multilevel para_II Знак,List Paragraph (numbered (a)) Знак,Numbered list Знак,Абзац списка11 Знак,Normal 2 Знак,Akapit z listą BS Знак,Bullet1 Знак,List Paragraph 1 Знак,ICMA Bullet List Знак"/>
    <w:link w:val="ab"/>
    <w:uiPriority w:val="34"/>
    <w:qFormat/>
    <w:locked/>
    <w:rsid w:val="003B2441"/>
  </w:style>
  <w:style w:type="paragraph" w:styleId="ab">
    <w:name w:val="List Paragraph"/>
    <w:aliases w:val="List Paragraph1,List_Paragraph,Multilevel para_II,List Paragraph (numbered (a)),Numbered list,Абзац списка11,Normal 2,Akapit z listą BS,Bullet1,List Paragraph 1,ICMA Bullet List,PAD,Main numbered paragraph,Bullets,References,Ha,Reference"/>
    <w:basedOn w:val="a"/>
    <w:link w:val="aa"/>
    <w:uiPriority w:val="34"/>
    <w:qFormat/>
    <w:rsid w:val="003B2441"/>
    <w:pPr>
      <w:widowControl w:val="0"/>
      <w:autoSpaceDE w:val="0"/>
      <w:autoSpaceDN w:val="0"/>
      <w:ind w:left="256" w:firstLine="705"/>
      <w:jc w:val="both"/>
    </w:pPr>
  </w:style>
  <w:style w:type="paragraph" w:styleId="ac">
    <w:name w:val="Normal (Web)"/>
    <w:basedOn w:val="a"/>
    <w:uiPriority w:val="99"/>
    <w:unhideWhenUsed/>
    <w:rsid w:val="003B2441"/>
    <w:pPr>
      <w:spacing w:before="100" w:beforeAutospacing="1" w:after="100" w:afterAutospacing="1"/>
    </w:pPr>
    <w:rPr>
      <w:color w:val="auto"/>
      <w:sz w:val="24"/>
      <w:szCs w:val="24"/>
      <w:lang w:val="ru-RU" w:eastAsia="ru-RU"/>
    </w:rPr>
  </w:style>
  <w:style w:type="character" w:styleId="ad">
    <w:name w:val="Hyperlink"/>
    <w:basedOn w:val="a0"/>
    <w:uiPriority w:val="99"/>
    <w:unhideWhenUsed/>
    <w:rsid w:val="00A02F91"/>
    <w:rPr>
      <w:rFonts w:ascii="Times New Roman" w:hAnsi="Times New Roman" w:cs="Times New Roman" w:hint="default"/>
      <w:color w:val="0563C1"/>
      <w:u w:val="single"/>
    </w:rPr>
  </w:style>
  <w:style w:type="character" w:customStyle="1" w:styleId="10">
    <w:name w:val="Неразрешенное упоминание1"/>
    <w:basedOn w:val="a0"/>
    <w:uiPriority w:val="99"/>
    <w:semiHidden/>
    <w:unhideWhenUsed/>
    <w:rsid w:val="00A02F91"/>
    <w:rPr>
      <w:color w:val="605E5C"/>
      <w:shd w:val="clear" w:color="auto" w:fill="E1DFDD"/>
    </w:rPr>
  </w:style>
  <w:style w:type="character" w:customStyle="1" w:styleId="markdown-cite">
    <w:name w:val="markdown-cite"/>
    <w:basedOn w:val="a0"/>
    <w:rsid w:val="0011016A"/>
  </w:style>
  <w:style w:type="paragraph" w:customStyle="1" w:styleId="leading-8">
    <w:name w:val="leading-8"/>
    <w:basedOn w:val="a"/>
    <w:rsid w:val="00477B4B"/>
    <w:pPr>
      <w:spacing w:before="100" w:beforeAutospacing="1" w:after="100" w:afterAutospacing="1"/>
    </w:pPr>
    <w:rPr>
      <w:color w:val="auto"/>
      <w:sz w:val="24"/>
      <w:szCs w:val="24"/>
      <w:lang w:val="ru-RU" w:eastAsia="ru-RU"/>
    </w:rPr>
  </w:style>
  <w:style w:type="table" w:styleId="ae">
    <w:name w:val="Table Grid"/>
    <w:basedOn w:val="a1"/>
    <w:uiPriority w:val="39"/>
    <w:rsid w:val="00477B4B"/>
    <w:rPr>
      <w:color w:val="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2E2798"/>
    <w:pPr>
      <w:autoSpaceDE w:val="0"/>
      <w:autoSpaceDN w:val="0"/>
      <w:adjustRightInd w:val="0"/>
    </w:pPr>
    <w:rPr>
      <w:sz w:val="24"/>
      <w:szCs w:val="24"/>
      <w:lang w:val="ru-RU" w:eastAsia="ru-RU"/>
    </w:rPr>
  </w:style>
  <w:style w:type="paragraph" w:styleId="af">
    <w:name w:val="header"/>
    <w:basedOn w:val="a"/>
    <w:link w:val="af0"/>
    <w:uiPriority w:val="99"/>
    <w:unhideWhenUsed/>
    <w:rsid w:val="002E2798"/>
    <w:pPr>
      <w:tabs>
        <w:tab w:val="center" w:pos="4677"/>
        <w:tab w:val="right" w:pos="9355"/>
      </w:tabs>
    </w:pPr>
  </w:style>
  <w:style w:type="character" w:customStyle="1" w:styleId="af0">
    <w:name w:val="Верхний колонтитул Знак"/>
    <w:basedOn w:val="a0"/>
    <w:link w:val="af"/>
    <w:uiPriority w:val="99"/>
    <w:rsid w:val="002E2798"/>
  </w:style>
  <w:style w:type="paragraph" w:styleId="af1">
    <w:name w:val="footer"/>
    <w:basedOn w:val="a"/>
    <w:link w:val="af2"/>
    <w:uiPriority w:val="99"/>
    <w:unhideWhenUsed/>
    <w:rsid w:val="002E2798"/>
    <w:pPr>
      <w:tabs>
        <w:tab w:val="center" w:pos="4677"/>
        <w:tab w:val="right" w:pos="9355"/>
      </w:tabs>
    </w:pPr>
  </w:style>
  <w:style w:type="character" w:customStyle="1" w:styleId="af2">
    <w:name w:val="Нижний колонтитул Знак"/>
    <w:basedOn w:val="a0"/>
    <w:link w:val="af1"/>
    <w:uiPriority w:val="99"/>
    <w:rsid w:val="002E2798"/>
  </w:style>
  <w:style w:type="paragraph" w:styleId="af3">
    <w:name w:val="Body Text"/>
    <w:basedOn w:val="a"/>
    <w:link w:val="af4"/>
    <w:uiPriority w:val="1"/>
    <w:qFormat/>
    <w:rsid w:val="00E9714C"/>
    <w:pPr>
      <w:widowControl w:val="0"/>
      <w:autoSpaceDE w:val="0"/>
      <w:autoSpaceDN w:val="0"/>
      <w:spacing w:line="240" w:lineRule="exact"/>
      <w:ind w:left="85"/>
    </w:pPr>
    <w:rPr>
      <w:color w:val="auto"/>
      <w:sz w:val="22"/>
      <w:szCs w:val="22"/>
      <w:lang w:val="ru-RU" w:eastAsia="en-US"/>
    </w:rPr>
  </w:style>
  <w:style w:type="character" w:customStyle="1" w:styleId="af4">
    <w:name w:val="Основной текст Знак"/>
    <w:basedOn w:val="a0"/>
    <w:link w:val="af3"/>
    <w:uiPriority w:val="1"/>
    <w:rsid w:val="00E9714C"/>
    <w:rPr>
      <w:color w:val="auto"/>
      <w:sz w:val="22"/>
      <w:szCs w:val="22"/>
      <w:lang w:val="ru-RU" w:eastAsia="en-US"/>
    </w:rPr>
  </w:style>
  <w:style w:type="table" w:customStyle="1" w:styleId="TableNormal">
    <w:name w:val="Table Normal"/>
    <w:uiPriority w:val="2"/>
    <w:semiHidden/>
    <w:unhideWhenUsed/>
    <w:qFormat/>
    <w:rsid w:val="00D9269C"/>
    <w:pPr>
      <w:widowControl w:val="0"/>
      <w:autoSpaceDE w:val="0"/>
      <w:autoSpaceDN w:val="0"/>
    </w:pPr>
    <w:rPr>
      <w:rFonts w:asciiTheme="minorHAnsi" w:eastAsiaTheme="minorHAnsi" w:hAnsiTheme="minorHAnsi" w:cstheme="minorBidi"/>
      <w:color w:val="auto"/>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9269C"/>
    <w:pPr>
      <w:widowControl w:val="0"/>
      <w:autoSpaceDE w:val="0"/>
      <w:autoSpaceDN w:val="0"/>
      <w:spacing w:before="7" w:line="222" w:lineRule="exact"/>
      <w:ind w:left="9"/>
      <w:jc w:val="center"/>
    </w:pPr>
    <w:rPr>
      <w:color w:val="auto"/>
      <w:sz w:val="22"/>
      <w:szCs w:val="22"/>
      <w:lang w:val="ru-RU" w:eastAsia="en-US"/>
    </w:rPr>
  </w:style>
  <w:style w:type="paragraph" w:styleId="30">
    <w:name w:val="Body Text 3"/>
    <w:basedOn w:val="a"/>
    <w:link w:val="31"/>
    <w:uiPriority w:val="99"/>
    <w:unhideWhenUsed/>
    <w:rsid w:val="00276A42"/>
    <w:pPr>
      <w:spacing w:after="120" w:line="259" w:lineRule="auto"/>
    </w:pPr>
    <w:rPr>
      <w:rFonts w:asciiTheme="minorHAnsi" w:eastAsiaTheme="minorHAnsi" w:hAnsiTheme="minorHAnsi" w:cstheme="minorBidi"/>
      <w:color w:val="auto"/>
      <w:sz w:val="16"/>
      <w:szCs w:val="16"/>
      <w:lang w:val="ru-RU" w:eastAsia="en-US"/>
    </w:rPr>
  </w:style>
  <w:style w:type="character" w:customStyle="1" w:styleId="31">
    <w:name w:val="Основной текст 3 Знак"/>
    <w:basedOn w:val="a0"/>
    <w:link w:val="30"/>
    <w:uiPriority w:val="99"/>
    <w:rsid w:val="00276A42"/>
    <w:rPr>
      <w:rFonts w:asciiTheme="minorHAnsi" w:eastAsiaTheme="minorHAnsi" w:hAnsiTheme="minorHAnsi" w:cstheme="minorBidi"/>
      <w:color w:val="auto"/>
      <w:sz w:val="16"/>
      <w:szCs w:val="16"/>
      <w:lang w:val="ru-RU" w:eastAsia="en-US"/>
    </w:rPr>
  </w:style>
  <w:style w:type="character" w:styleId="af5">
    <w:name w:val="Emphasis"/>
    <w:basedOn w:val="a0"/>
    <w:uiPriority w:val="20"/>
    <w:qFormat/>
    <w:rsid w:val="00072CE7"/>
    <w:rPr>
      <w:i/>
      <w:iCs/>
    </w:rPr>
  </w:style>
  <w:style w:type="character" w:styleId="af6">
    <w:name w:val="Unresolved Mention"/>
    <w:basedOn w:val="a0"/>
    <w:uiPriority w:val="99"/>
    <w:semiHidden/>
    <w:unhideWhenUsed/>
    <w:rsid w:val="00EE6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5473">
      <w:bodyDiv w:val="1"/>
      <w:marLeft w:val="0"/>
      <w:marRight w:val="0"/>
      <w:marTop w:val="0"/>
      <w:marBottom w:val="0"/>
      <w:divBdr>
        <w:top w:val="none" w:sz="0" w:space="0" w:color="auto"/>
        <w:left w:val="none" w:sz="0" w:space="0" w:color="auto"/>
        <w:bottom w:val="none" w:sz="0" w:space="0" w:color="auto"/>
        <w:right w:val="none" w:sz="0" w:space="0" w:color="auto"/>
      </w:divBdr>
    </w:div>
    <w:div w:id="359161462">
      <w:bodyDiv w:val="1"/>
      <w:marLeft w:val="0"/>
      <w:marRight w:val="0"/>
      <w:marTop w:val="0"/>
      <w:marBottom w:val="0"/>
      <w:divBdr>
        <w:top w:val="none" w:sz="0" w:space="0" w:color="auto"/>
        <w:left w:val="none" w:sz="0" w:space="0" w:color="auto"/>
        <w:bottom w:val="none" w:sz="0" w:space="0" w:color="auto"/>
        <w:right w:val="none" w:sz="0" w:space="0" w:color="auto"/>
      </w:divBdr>
    </w:div>
    <w:div w:id="567375665">
      <w:bodyDiv w:val="1"/>
      <w:marLeft w:val="0"/>
      <w:marRight w:val="0"/>
      <w:marTop w:val="0"/>
      <w:marBottom w:val="0"/>
      <w:divBdr>
        <w:top w:val="none" w:sz="0" w:space="0" w:color="auto"/>
        <w:left w:val="none" w:sz="0" w:space="0" w:color="auto"/>
        <w:bottom w:val="none" w:sz="0" w:space="0" w:color="auto"/>
        <w:right w:val="none" w:sz="0" w:space="0" w:color="auto"/>
      </w:divBdr>
    </w:div>
    <w:div w:id="1137189596">
      <w:bodyDiv w:val="1"/>
      <w:marLeft w:val="0"/>
      <w:marRight w:val="0"/>
      <w:marTop w:val="0"/>
      <w:marBottom w:val="0"/>
      <w:divBdr>
        <w:top w:val="none" w:sz="0" w:space="0" w:color="auto"/>
        <w:left w:val="none" w:sz="0" w:space="0" w:color="auto"/>
        <w:bottom w:val="none" w:sz="0" w:space="0" w:color="auto"/>
        <w:right w:val="none" w:sz="0" w:space="0" w:color="auto"/>
      </w:divBdr>
      <w:divsChild>
        <w:div w:id="1327436867">
          <w:marLeft w:val="0"/>
          <w:marRight w:val="0"/>
          <w:marTop w:val="0"/>
          <w:marBottom w:val="0"/>
          <w:divBdr>
            <w:top w:val="none" w:sz="0" w:space="0" w:color="auto"/>
            <w:left w:val="none" w:sz="0" w:space="0" w:color="auto"/>
            <w:bottom w:val="none" w:sz="0" w:space="0" w:color="auto"/>
            <w:right w:val="none" w:sz="0" w:space="0" w:color="auto"/>
          </w:divBdr>
          <w:divsChild>
            <w:div w:id="999970060">
              <w:marLeft w:val="0"/>
              <w:marRight w:val="0"/>
              <w:marTop w:val="0"/>
              <w:marBottom w:val="0"/>
              <w:divBdr>
                <w:top w:val="none" w:sz="0" w:space="0" w:color="auto"/>
                <w:left w:val="none" w:sz="0" w:space="0" w:color="auto"/>
                <w:bottom w:val="none" w:sz="0" w:space="0" w:color="auto"/>
                <w:right w:val="none" w:sz="0" w:space="0" w:color="auto"/>
              </w:divBdr>
              <w:divsChild>
                <w:div w:id="1190951482">
                  <w:marLeft w:val="0"/>
                  <w:marRight w:val="0"/>
                  <w:marTop w:val="0"/>
                  <w:marBottom w:val="0"/>
                  <w:divBdr>
                    <w:top w:val="none" w:sz="0" w:space="0" w:color="auto"/>
                    <w:left w:val="none" w:sz="0" w:space="0" w:color="auto"/>
                    <w:bottom w:val="none" w:sz="0" w:space="0" w:color="auto"/>
                    <w:right w:val="none" w:sz="0" w:space="0" w:color="auto"/>
                  </w:divBdr>
                  <w:divsChild>
                    <w:div w:id="1238789673">
                      <w:marLeft w:val="0"/>
                      <w:marRight w:val="0"/>
                      <w:marTop w:val="0"/>
                      <w:marBottom w:val="0"/>
                      <w:divBdr>
                        <w:top w:val="none" w:sz="0" w:space="0" w:color="auto"/>
                        <w:left w:val="none" w:sz="0" w:space="0" w:color="auto"/>
                        <w:bottom w:val="none" w:sz="0" w:space="0" w:color="auto"/>
                        <w:right w:val="none" w:sz="0" w:space="0" w:color="auto"/>
                      </w:divBdr>
                      <w:divsChild>
                        <w:div w:id="344793642">
                          <w:marLeft w:val="0"/>
                          <w:marRight w:val="0"/>
                          <w:marTop w:val="0"/>
                          <w:marBottom w:val="0"/>
                          <w:divBdr>
                            <w:top w:val="none" w:sz="0" w:space="0" w:color="auto"/>
                            <w:left w:val="none" w:sz="0" w:space="0" w:color="auto"/>
                            <w:bottom w:val="none" w:sz="0" w:space="0" w:color="auto"/>
                            <w:right w:val="none" w:sz="0" w:space="0" w:color="auto"/>
                          </w:divBdr>
                          <w:divsChild>
                            <w:div w:id="2073187745">
                              <w:marLeft w:val="0"/>
                              <w:marRight w:val="0"/>
                              <w:marTop w:val="0"/>
                              <w:marBottom w:val="0"/>
                              <w:divBdr>
                                <w:top w:val="none" w:sz="0" w:space="0" w:color="auto"/>
                                <w:left w:val="none" w:sz="0" w:space="0" w:color="auto"/>
                                <w:bottom w:val="none" w:sz="0" w:space="0" w:color="auto"/>
                                <w:right w:val="none" w:sz="0" w:space="0" w:color="auto"/>
                              </w:divBdr>
                              <w:divsChild>
                                <w:div w:id="137502525">
                                  <w:marLeft w:val="0"/>
                                  <w:marRight w:val="0"/>
                                  <w:marTop w:val="0"/>
                                  <w:marBottom w:val="0"/>
                                  <w:divBdr>
                                    <w:top w:val="none" w:sz="0" w:space="0" w:color="auto"/>
                                    <w:left w:val="none" w:sz="0" w:space="0" w:color="auto"/>
                                    <w:bottom w:val="none" w:sz="0" w:space="0" w:color="auto"/>
                                    <w:right w:val="none" w:sz="0" w:space="0" w:color="auto"/>
                                  </w:divBdr>
                                  <w:divsChild>
                                    <w:div w:id="1432583817">
                                      <w:marLeft w:val="0"/>
                                      <w:marRight w:val="0"/>
                                      <w:marTop w:val="0"/>
                                      <w:marBottom w:val="0"/>
                                      <w:divBdr>
                                        <w:top w:val="none" w:sz="0" w:space="0" w:color="auto"/>
                                        <w:left w:val="none" w:sz="0" w:space="0" w:color="auto"/>
                                        <w:bottom w:val="none" w:sz="0" w:space="0" w:color="auto"/>
                                        <w:right w:val="none" w:sz="0" w:space="0" w:color="auto"/>
                                      </w:divBdr>
                                      <w:divsChild>
                                        <w:div w:id="29890063">
                                          <w:marLeft w:val="0"/>
                                          <w:marRight w:val="0"/>
                                          <w:marTop w:val="0"/>
                                          <w:marBottom w:val="0"/>
                                          <w:divBdr>
                                            <w:top w:val="none" w:sz="0" w:space="0" w:color="auto"/>
                                            <w:left w:val="none" w:sz="0" w:space="0" w:color="auto"/>
                                            <w:bottom w:val="none" w:sz="0" w:space="0" w:color="auto"/>
                                            <w:right w:val="none" w:sz="0" w:space="0" w:color="auto"/>
                                          </w:divBdr>
                                          <w:divsChild>
                                            <w:div w:id="32370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9307">
                                  <w:marLeft w:val="0"/>
                                  <w:marRight w:val="0"/>
                                  <w:marTop w:val="0"/>
                                  <w:marBottom w:val="0"/>
                                  <w:divBdr>
                                    <w:top w:val="none" w:sz="0" w:space="0" w:color="auto"/>
                                    <w:left w:val="none" w:sz="0" w:space="0" w:color="auto"/>
                                    <w:bottom w:val="none" w:sz="0" w:space="0" w:color="auto"/>
                                    <w:right w:val="none" w:sz="0" w:space="0" w:color="auto"/>
                                  </w:divBdr>
                                  <w:divsChild>
                                    <w:div w:id="182592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5322498">
          <w:marLeft w:val="0"/>
          <w:marRight w:val="0"/>
          <w:marTop w:val="0"/>
          <w:marBottom w:val="0"/>
          <w:divBdr>
            <w:top w:val="none" w:sz="0" w:space="0" w:color="auto"/>
            <w:left w:val="none" w:sz="0" w:space="0" w:color="auto"/>
            <w:bottom w:val="none" w:sz="0" w:space="0" w:color="auto"/>
            <w:right w:val="none" w:sz="0" w:space="0" w:color="auto"/>
          </w:divBdr>
          <w:divsChild>
            <w:div w:id="1950772897">
              <w:marLeft w:val="0"/>
              <w:marRight w:val="0"/>
              <w:marTop w:val="0"/>
              <w:marBottom w:val="0"/>
              <w:divBdr>
                <w:top w:val="none" w:sz="0" w:space="0" w:color="auto"/>
                <w:left w:val="none" w:sz="0" w:space="0" w:color="auto"/>
                <w:bottom w:val="none" w:sz="0" w:space="0" w:color="auto"/>
                <w:right w:val="none" w:sz="0" w:space="0" w:color="auto"/>
              </w:divBdr>
              <w:divsChild>
                <w:div w:id="1368947603">
                  <w:marLeft w:val="0"/>
                  <w:marRight w:val="0"/>
                  <w:marTop w:val="0"/>
                  <w:marBottom w:val="0"/>
                  <w:divBdr>
                    <w:top w:val="none" w:sz="0" w:space="0" w:color="auto"/>
                    <w:left w:val="none" w:sz="0" w:space="0" w:color="auto"/>
                    <w:bottom w:val="none" w:sz="0" w:space="0" w:color="auto"/>
                    <w:right w:val="none" w:sz="0" w:space="0" w:color="auto"/>
                  </w:divBdr>
                  <w:divsChild>
                    <w:div w:id="773745647">
                      <w:marLeft w:val="0"/>
                      <w:marRight w:val="0"/>
                      <w:marTop w:val="0"/>
                      <w:marBottom w:val="0"/>
                      <w:divBdr>
                        <w:top w:val="none" w:sz="0" w:space="0" w:color="auto"/>
                        <w:left w:val="none" w:sz="0" w:space="0" w:color="auto"/>
                        <w:bottom w:val="none" w:sz="0" w:space="0" w:color="auto"/>
                        <w:right w:val="none" w:sz="0" w:space="0" w:color="auto"/>
                      </w:divBdr>
                      <w:divsChild>
                        <w:div w:id="702560408">
                          <w:marLeft w:val="0"/>
                          <w:marRight w:val="0"/>
                          <w:marTop w:val="0"/>
                          <w:marBottom w:val="0"/>
                          <w:divBdr>
                            <w:top w:val="none" w:sz="0" w:space="0" w:color="auto"/>
                            <w:left w:val="none" w:sz="0" w:space="0" w:color="auto"/>
                            <w:bottom w:val="none" w:sz="0" w:space="0" w:color="auto"/>
                            <w:right w:val="none" w:sz="0" w:space="0" w:color="auto"/>
                          </w:divBdr>
                          <w:divsChild>
                            <w:div w:id="1878933416">
                              <w:marLeft w:val="0"/>
                              <w:marRight w:val="0"/>
                              <w:marTop w:val="0"/>
                              <w:marBottom w:val="0"/>
                              <w:divBdr>
                                <w:top w:val="none" w:sz="0" w:space="0" w:color="auto"/>
                                <w:left w:val="none" w:sz="0" w:space="0" w:color="auto"/>
                                <w:bottom w:val="none" w:sz="0" w:space="0" w:color="auto"/>
                                <w:right w:val="none" w:sz="0" w:space="0" w:color="auto"/>
                              </w:divBdr>
                              <w:divsChild>
                                <w:div w:id="1891767587">
                                  <w:marLeft w:val="0"/>
                                  <w:marRight w:val="0"/>
                                  <w:marTop w:val="0"/>
                                  <w:marBottom w:val="0"/>
                                  <w:divBdr>
                                    <w:top w:val="none" w:sz="0" w:space="0" w:color="auto"/>
                                    <w:left w:val="none" w:sz="0" w:space="0" w:color="auto"/>
                                    <w:bottom w:val="none" w:sz="0" w:space="0" w:color="auto"/>
                                    <w:right w:val="none" w:sz="0" w:space="0" w:color="auto"/>
                                  </w:divBdr>
                                  <w:divsChild>
                                    <w:div w:id="2052730906">
                                      <w:marLeft w:val="0"/>
                                      <w:marRight w:val="0"/>
                                      <w:marTop w:val="0"/>
                                      <w:marBottom w:val="0"/>
                                      <w:divBdr>
                                        <w:top w:val="none" w:sz="0" w:space="0" w:color="auto"/>
                                        <w:left w:val="none" w:sz="0" w:space="0" w:color="auto"/>
                                        <w:bottom w:val="none" w:sz="0" w:space="0" w:color="auto"/>
                                        <w:right w:val="none" w:sz="0" w:space="0" w:color="auto"/>
                                      </w:divBdr>
                                      <w:divsChild>
                                        <w:div w:id="1442645202">
                                          <w:marLeft w:val="0"/>
                                          <w:marRight w:val="0"/>
                                          <w:marTop w:val="0"/>
                                          <w:marBottom w:val="0"/>
                                          <w:divBdr>
                                            <w:top w:val="none" w:sz="0" w:space="0" w:color="auto"/>
                                            <w:left w:val="none" w:sz="0" w:space="0" w:color="auto"/>
                                            <w:bottom w:val="none" w:sz="0" w:space="0" w:color="auto"/>
                                            <w:right w:val="none" w:sz="0" w:space="0" w:color="auto"/>
                                          </w:divBdr>
                                          <w:divsChild>
                                            <w:div w:id="698354150">
                                              <w:marLeft w:val="0"/>
                                              <w:marRight w:val="0"/>
                                              <w:marTop w:val="0"/>
                                              <w:marBottom w:val="0"/>
                                              <w:divBdr>
                                                <w:top w:val="none" w:sz="0" w:space="0" w:color="auto"/>
                                                <w:left w:val="none" w:sz="0" w:space="0" w:color="auto"/>
                                                <w:bottom w:val="none" w:sz="0" w:space="0" w:color="auto"/>
                                                <w:right w:val="none" w:sz="0" w:space="0" w:color="auto"/>
                                              </w:divBdr>
                                              <w:divsChild>
                                                <w:div w:id="144345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1715489">
      <w:bodyDiv w:val="1"/>
      <w:marLeft w:val="0"/>
      <w:marRight w:val="0"/>
      <w:marTop w:val="0"/>
      <w:marBottom w:val="0"/>
      <w:divBdr>
        <w:top w:val="none" w:sz="0" w:space="0" w:color="auto"/>
        <w:left w:val="none" w:sz="0" w:space="0" w:color="auto"/>
        <w:bottom w:val="none" w:sz="0" w:space="0" w:color="auto"/>
        <w:right w:val="none" w:sz="0" w:space="0" w:color="auto"/>
      </w:divBdr>
    </w:div>
    <w:div w:id="1638491303">
      <w:bodyDiv w:val="1"/>
      <w:marLeft w:val="0"/>
      <w:marRight w:val="0"/>
      <w:marTop w:val="0"/>
      <w:marBottom w:val="0"/>
      <w:divBdr>
        <w:top w:val="none" w:sz="0" w:space="0" w:color="auto"/>
        <w:left w:val="none" w:sz="0" w:space="0" w:color="auto"/>
        <w:bottom w:val="none" w:sz="0" w:space="0" w:color="auto"/>
        <w:right w:val="none" w:sz="0" w:space="0" w:color="auto"/>
      </w:divBdr>
    </w:div>
    <w:div w:id="1672105185">
      <w:bodyDiv w:val="1"/>
      <w:marLeft w:val="0"/>
      <w:marRight w:val="0"/>
      <w:marTop w:val="0"/>
      <w:marBottom w:val="0"/>
      <w:divBdr>
        <w:top w:val="none" w:sz="0" w:space="0" w:color="auto"/>
        <w:left w:val="none" w:sz="0" w:space="0" w:color="auto"/>
        <w:bottom w:val="none" w:sz="0" w:space="0" w:color="auto"/>
        <w:right w:val="none" w:sz="0" w:space="0" w:color="auto"/>
      </w:divBdr>
    </w:div>
    <w:div w:id="1685593610">
      <w:bodyDiv w:val="1"/>
      <w:marLeft w:val="0"/>
      <w:marRight w:val="0"/>
      <w:marTop w:val="0"/>
      <w:marBottom w:val="0"/>
      <w:divBdr>
        <w:top w:val="none" w:sz="0" w:space="0" w:color="auto"/>
        <w:left w:val="none" w:sz="0" w:space="0" w:color="auto"/>
        <w:bottom w:val="none" w:sz="0" w:space="0" w:color="auto"/>
        <w:right w:val="none" w:sz="0" w:space="0" w:color="auto"/>
      </w:divBdr>
    </w:div>
    <w:div w:id="1727874051">
      <w:bodyDiv w:val="1"/>
      <w:marLeft w:val="0"/>
      <w:marRight w:val="0"/>
      <w:marTop w:val="0"/>
      <w:marBottom w:val="0"/>
      <w:divBdr>
        <w:top w:val="none" w:sz="0" w:space="0" w:color="auto"/>
        <w:left w:val="none" w:sz="0" w:space="0" w:color="auto"/>
        <w:bottom w:val="none" w:sz="0" w:space="0" w:color="auto"/>
        <w:right w:val="none" w:sz="0" w:space="0" w:color="auto"/>
      </w:divBdr>
    </w:div>
    <w:div w:id="1926064988">
      <w:bodyDiv w:val="1"/>
      <w:marLeft w:val="0"/>
      <w:marRight w:val="0"/>
      <w:marTop w:val="0"/>
      <w:marBottom w:val="0"/>
      <w:divBdr>
        <w:top w:val="none" w:sz="0" w:space="0" w:color="auto"/>
        <w:left w:val="none" w:sz="0" w:space="0" w:color="auto"/>
        <w:bottom w:val="none" w:sz="0" w:space="0" w:color="auto"/>
        <w:right w:val="none" w:sz="0" w:space="0" w:color="auto"/>
      </w:divBdr>
    </w:div>
    <w:div w:id="1993673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urodjon.vapayev@mail.r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surbeksobirov19951908@gmail.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xushnudbek6600@mail.ru" TargetMode="External"/><Relationship Id="rId4" Type="http://schemas.openxmlformats.org/officeDocument/2006/relationships/settings" Target="settings.xml"/><Relationship Id="rId9" Type="http://schemas.openxmlformats.org/officeDocument/2006/relationships/hyperlink" Target="mailto:elmira-teshaboeva@mail.ru"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785CB-E169-4D6E-86B0-EDF088B22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3249</Words>
  <Characters>18524</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28</cp:revision>
  <dcterms:created xsi:type="dcterms:W3CDTF">2025-07-20T20:45:00Z</dcterms:created>
  <dcterms:modified xsi:type="dcterms:W3CDTF">2025-09-09T12:03:00Z</dcterms:modified>
</cp:coreProperties>
</file>