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E787C" w14:textId="78E592CB" w:rsidR="003F0C65" w:rsidRPr="00817AED" w:rsidRDefault="00817AED" w:rsidP="00817AED">
      <w:pPr>
        <w:pStyle w:val="af2"/>
        <w:spacing w:before="1200"/>
        <w:ind w:right="0"/>
        <w:rPr>
          <w:sz w:val="36"/>
          <w:szCs w:val="36"/>
        </w:rPr>
      </w:pPr>
      <w:r w:rsidRPr="00817AED">
        <w:rPr>
          <w:sz w:val="36"/>
          <w:szCs w:val="36"/>
        </w:rPr>
        <w:t>Resource-Saving Technologies Based on Powder Metallurgy Research and Development</w:t>
      </w:r>
    </w:p>
    <w:p w14:paraId="74377A39" w14:textId="178B56A6" w:rsidR="00012C1B" w:rsidRDefault="00817AED" w:rsidP="00817AED">
      <w:pPr>
        <w:widowControl w:val="0"/>
        <w:tabs>
          <w:tab w:val="left" w:pos="9498"/>
        </w:tabs>
        <w:autoSpaceDE w:val="0"/>
        <w:autoSpaceDN w:val="0"/>
        <w:spacing w:before="360" w:after="360" w:line="240" w:lineRule="auto"/>
        <w:jc w:val="center"/>
        <w:rPr>
          <w:rFonts w:ascii="Times New Roman" w:eastAsia="Times New Roman" w:hAnsi="Times New Roman" w:cs="Times New Roman"/>
          <w:sz w:val="28"/>
          <w:lang w:val="en-US"/>
        </w:rPr>
      </w:pPr>
      <w:r w:rsidRPr="00365FAF">
        <w:rPr>
          <w:rFonts w:ascii="Times New Roman" w:eastAsia="Times New Roman" w:hAnsi="Times New Roman" w:cs="Times New Roman"/>
          <w:sz w:val="28"/>
          <w:lang w:val="en-US"/>
        </w:rPr>
        <w:t>U.T</w:t>
      </w:r>
      <w:r>
        <w:rPr>
          <w:rFonts w:ascii="Times New Roman" w:eastAsia="Times New Roman" w:hAnsi="Times New Roman" w:cs="Times New Roman"/>
          <w:sz w:val="28"/>
          <w:lang w:val="en-US"/>
        </w:rPr>
        <w:t>.</w:t>
      </w:r>
      <w:r w:rsidRPr="00365FAF">
        <w:rPr>
          <w:rFonts w:ascii="Times New Roman" w:eastAsia="Times New Roman" w:hAnsi="Times New Roman" w:cs="Times New Roman"/>
          <w:sz w:val="28"/>
          <w:lang w:val="en-US"/>
        </w:rPr>
        <w:t xml:space="preserve"> </w:t>
      </w:r>
      <w:r w:rsidR="00012C1B" w:rsidRPr="00365FAF">
        <w:rPr>
          <w:rFonts w:ascii="Times New Roman" w:eastAsia="Times New Roman" w:hAnsi="Times New Roman" w:cs="Times New Roman"/>
          <w:sz w:val="28"/>
          <w:lang w:val="en-US"/>
        </w:rPr>
        <w:t>Berdiev</w:t>
      </w:r>
      <w:r w:rsidR="00365FAF" w:rsidRPr="00365FAF">
        <w:rPr>
          <w:rFonts w:ascii="Times New Roman" w:eastAsia="Times New Roman" w:hAnsi="Times New Roman" w:cs="Times New Roman"/>
          <w:sz w:val="28"/>
          <w:vertAlign w:val="superscript"/>
          <w:lang w:val="en-US"/>
        </w:rPr>
        <w:t>1</w:t>
      </w:r>
      <w:r w:rsidR="00365FAF">
        <w:rPr>
          <w:rFonts w:ascii="Times New Roman" w:eastAsia="Times New Roman" w:hAnsi="Times New Roman" w:cs="Times New Roman"/>
          <w:sz w:val="28"/>
          <w:vertAlign w:val="superscript"/>
          <w:lang w:val="en-US"/>
        </w:rPr>
        <w:t>,</w:t>
      </w:r>
      <w:r>
        <w:rPr>
          <w:rFonts w:ascii="Times New Roman" w:eastAsia="Times New Roman" w:hAnsi="Times New Roman" w:cs="Times New Roman"/>
          <w:sz w:val="28"/>
          <w:lang w:val="en-US"/>
        </w:rPr>
        <w:t xml:space="preserve"> </w:t>
      </w:r>
      <w:r w:rsidR="00365FAF" w:rsidRPr="00365FAF">
        <w:rPr>
          <w:rFonts w:ascii="Times New Roman" w:eastAsia="Times New Roman" w:hAnsi="Times New Roman" w:cs="Times New Roman"/>
          <w:sz w:val="28"/>
          <w:vertAlign w:val="superscript"/>
          <w:lang w:val="en-US"/>
        </w:rPr>
        <w:t>a)</w:t>
      </w:r>
      <w:r w:rsidR="0066575E" w:rsidRPr="00365FAF">
        <w:rPr>
          <w:rFonts w:ascii="Times New Roman" w:eastAsia="Times New Roman" w:hAnsi="Times New Roman" w:cs="Times New Roman"/>
          <w:sz w:val="28"/>
          <w:lang w:val="en-US"/>
        </w:rPr>
        <w:t xml:space="preserve">, </w:t>
      </w:r>
      <w:r w:rsidRPr="00365FAF">
        <w:rPr>
          <w:rFonts w:ascii="Times New Roman" w:eastAsia="Times New Roman" w:hAnsi="Times New Roman" w:cs="Times New Roman"/>
          <w:sz w:val="28"/>
          <w:lang w:val="en-US"/>
        </w:rPr>
        <w:t>O.T</w:t>
      </w:r>
      <w:r>
        <w:rPr>
          <w:rFonts w:ascii="Times New Roman" w:eastAsia="Times New Roman" w:hAnsi="Times New Roman" w:cs="Times New Roman"/>
          <w:sz w:val="28"/>
          <w:lang w:val="en-US"/>
        </w:rPr>
        <w:t>.</w:t>
      </w:r>
      <w:r w:rsidRPr="00365FAF">
        <w:rPr>
          <w:rFonts w:ascii="Times New Roman" w:eastAsia="Times New Roman" w:hAnsi="Times New Roman" w:cs="Times New Roman"/>
          <w:sz w:val="28"/>
          <w:lang w:val="en-US"/>
        </w:rPr>
        <w:t xml:space="preserve"> </w:t>
      </w:r>
      <w:r w:rsidR="008A3579" w:rsidRPr="00365FAF">
        <w:rPr>
          <w:rFonts w:ascii="Times New Roman" w:eastAsia="Times New Roman" w:hAnsi="Times New Roman" w:cs="Times New Roman"/>
          <w:sz w:val="28"/>
          <w:lang w:val="en-US"/>
        </w:rPr>
        <w:t>Boltaev</w:t>
      </w:r>
      <w:r w:rsidR="00365FAF" w:rsidRPr="00365FAF">
        <w:rPr>
          <w:rFonts w:ascii="Times New Roman" w:eastAsia="Times New Roman" w:hAnsi="Times New Roman" w:cs="Times New Roman"/>
          <w:sz w:val="28"/>
          <w:vertAlign w:val="superscript"/>
          <w:lang w:val="en-US"/>
        </w:rPr>
        <w:t>1</w:t>
      </w:r>
      <w:r w:rsidR="00365FAF">
        <w:rPr>
          <w:rFonts w:ascii="Times New Roman" w:eastAsia="Times New Roman" w:hAnsi="Times New Roman" w:cs="Times New Roman"/>
          <w:sz w:val="28"/>
          <w:vertAlign w:val="superscript"/>
          <w:lang w:val="en-US"/>
        </w:rPr>
        <w:t>,</w:t>
      </w:r>
      <w:r w:rsidR="00365FAF">
        <w:rPr>
          <w:rFonts w:ascii="Times New Roman" w:eastAsia="Times New Roman" w:hAnsi="Times New Roman" w:cs="Times New Roman"/>
          <w:sz w:val="28"/>
          <w:lang w:val="en-US"/>
        </w:rPr>
        <w:t xml:space="preserve"> </w:t>
      </w:r>
      <w:r w:rsidR="00365FAF">
        <w:rPr>
          <w:rFonts w:ascii="Times New Roman" w:eastAsia="Times New Roman" w:hAnsi="Times New Roman" w:cs="Times New Roman"/>
          <w:sz w:val="28"/>
          <w:vertAlign w:val="superscript"/>
          <w:lang w:val="en-US"/>
        </w:rPr>
        <w:t>b</w:t>
      </w:r>
      <w:r w:rsidR="00365FAF" w:rsidRPr="00365FAF">
        <w:rPr>
          <w:rFonts w:ascii="Times New Roman" w:eastAsia="Times New Roman" w:hAnsi="Times New Roman" w:cs="Times New Roman"/>
          <w:sz w:val="28"/>
          <w:vertAlign w:val="superscript"/>
          <w:lang w:val="en-US"/>
        </w:rPr>
        <w:t>)</w:t>
      </w:r>
      <w:r w:rsidR="007B7898" w:rsidRPr="00365FAF">
        <w:rPr>
          <w:rFonts w:ascii="Times New Roman" w:eastAsia="Times New Roman" w:hAnsi="Times New Roman" w:cs="Times New Roman"/>
          <w:sz w:val="28"/>
          <w:lang w:val="en-US"/>
        </w:rPr>
        <w:t xml:space="preserve">, </w:t>
      </w:r>
      <w:r w:rsidRPr="00365FAF">
        <w:rPr>
          <w:rFonts w:ascii="Times New Roman" w:eastAsia="Times New Roman" w:hAnsi="Times New Roman" w:cs="Times New Roman"/>
          <w:sz w:val="28"/>
          <w:lang w:val="en-US"/>
        </w:rPr>
        <w:t>U.B</w:t>
      </w:r>
      <w:r>
        <w:rPr>
          <w:rFonts w:ascii="Times New Roman" w:eastAsia="Times New Roman" w:hAnsi="Times New Roman" w:cs="Times New Roman"/>
          <w:sz w:val="28"/>
          <w:lang w:val="en-US"/>
        </w:rPr>
        <w:t>.</w:t>
      </w:r>
      <w:r>
        <w:rPr>
          <w:rFonts w:ascii="Times New Roman" w:eastAsia="Times New Roman" w:hAnsi="Times New Roman" w:cs="Times New Roman"/>
          <w:sz w:val="28"/>
          <w:lang w:val="en-US"/>
        </w:rPr>
        <w:t xml:space="preserve"> </w:t>
      </w:r>
      <w:r w:rsidR="00012C1B" w:rsidRPr="00365FAF">
        <w:rPr>
          <w:rFonts w:ascii="Times New Roman" w:eastAsia="Times New Roman" w:hAnsi="Times New Roman" w:cs="Times New Roman"/>
          <w:sz w:val="28"/>
          <w:lang w:val="en-US"/>
        </w:rPr>
        <w:t>Sulaymanov</w:t>
      </w:r>
      <w:r w:rsidR="00365FAF" w:rsidRPr="00365FAF">
        <w:rPr>
          <w:rFonts w:ascii="Times New Roman" w:eastAsia="Times New Roman" w:hAnsi="Times New Roman" w:cs="Times New Roman"/>
          <w:sz w:val="28"/>
          <w:vertAlign w:val="superscript"/>
          <w:lang w:val="en-US"/>
        </w:rPr>
        <w:t>1</w:t>
      </w:r>
      <w:r w:rsidR="00365FAF">
        <w:rPr>
          <w:rFonts w:ascii="Times New Roman" w:eastAsia="Times New Roman" w:hAnsi="Times New Roman" w:cs="Times New Roman"/>
          <w:sz w:val="28"/>
          <w:vertAlign w:val="superscript"/>
          <w:lang w:val="en-US"/>
        </w:rPr>
        <w:t>,</w:t>
      </w:r>
      <w:r w:rsidR="00365FAF">
        <w:rPr>
          <w:rFonts w:ascii="Times New Roman" w:eastAsia="Times New Roman" w:hAnsi="Times New Roman" w:cs="Times New Roman"/>
          <w:sz w:val="28"/>
          <w:lang w:val="en-US"/>
        </w:rPr>
        <w:t xml:space="preserve"> </w:t>
      </w:r>
      <w:r w:rsidR="00365FAF">
        <w:rPr>
          <w:rFonts w:ascii="Times New Roman" w:eastAsia="Times New Roman" w:hAnsi="Times New Roman" w:cs="Times New Roman"/>
          <w:sz w:val="28"/>
          <w:vertAlign w:val="superscript"/>
          <w:lang w:val="en-US"/>
        </w:rPr>
        <w:t>c</w:t>
      </w:r>
      <w:r w:rsidR="00365FAF" w:rsidRPr="00365FAF">
        <w:rPr>
          <w:rFonts w:ascii="Times New Roman" w:eastAsia="Times New Roman" w:hAnsi="Times New Roman" w:cs="Times New Roman"/>
          <w:sz w:val="28"/>
          <w:vertAlign w:val="superscript"/>
          <w:lang w:val="en-US"/>
        </w:rPr>
        <w:t>)</w:t>
      </w:r>
      <w:r w:rsidR="001121E7" w:rsidRPr="00365FAF">
        <w:rPr>
          <w:rFonts w:ascii="Times New Roman" w:eastAsia="Times New Roman" w:hAnsi="Times New Roman" w:cs="Times New Roman"/>
          <w:sz w:val="28"/>
          <w:lang w:val="en-US"/>
        </w:rPr>
        <w:t xml:space="preserve">, </w:t>
      </w:r>
      <w:r w:rsidRPr="00365FAF">
        <w:rPr>
          <w:rFonts w:ascii="Times New Roman" w:eastAsia="Times New Roman" w:hAnsi="Times New Roman" w:cs="Times New Roman"/>
          <w:sz w:val="28"/>
          <w:lang w:val="en-US"/>
        </w:rPr>
        <w:t>F.R</w:t>
      </w:r>
      <w:r>
        <w:rPr>
          <w:rFonts w:ascii="Times New Roman" w:eastAsia="Times New Roman" w:hAnsi="Times New Roman" w:cs="Times New Roman"/>
          <w:sz w:val="28"/>
          <w:lang w:val="en-US"/>
        </w:rPr>
        <w:t>.</w:t>
      </w:r>
      <w:r w:rsidRPr="00365FAF">
        <w:rPr>
          <w:rFonts w:ascii="Times New Roman" w:eastAsia="Times New Roman" w:hAnsi="Times New Roman" w:cs="Times New Roman"/>
          <w:sz w:val="28"/>
          <w:lang w:val="en-US"/>
        </w:rPr>
        <w:t xml:space="preserve"> </w:t>
      </w:r>
      <w:r w:rsidR="001121E7" w:rsidRPr="00365FAF">
        <w:rPr>
          <w:rFonts w:ascii="Times New Roman" w:eastAsia="Times New Roman" w:hAnsi="Times New Roman" w:cs="Times New Roman"/>
          <w:sz w:val="28"/>
          <w:lang w:val="en-US"/>
        </w:rPr>
        <w:t>Turgunova</w:t>
      </w:r>
      <w:r w:rsidR="00365FAF" w:rsidRPr="00365FAF">
        <w:rPr>
          <w:rFonts w:ascii="Times New Roman" w:eastAsia="Times New Roman" w:hAnsi="Times New Roman" w:cs="Times New Roman"/>
          <w:sz w:val="28"/>
          <w:vertAlign w:val="superscript"/>
          <w:lang w:val="en-US"/>
        </w:rPr>
        <w:t>1</w:t>
      </w:r>
      <w:r w:rsidR="00365FAF">
        <w:rPr>
          <w:rFonts w:ascii="Times New Roman" w:eastAsia="Times New Roman" w:hAnsi="Times New Roman" w:cs="Times New Roman"/>
          <w:sz w:val="28"/>
          <w:vertAlign w:val="superscript"/>
          <w:lang w:val="en-US"/>
        </w:rPr>
        <w:t>,</w:t>
      </w:r>
      <w:r w:rsidR="00365FAF">
        <w:rPr>
          <w:rFonts w:ascii="Times New Roman" w:eastAsia="Times New Roman" w:hAnsi="Times New Roman" w:cs="Times New Roman"/>
          <w:sz w:val="28"/>
          <w:lang w:val="en-US"/>
        </w:rPr>
        <w:t xml:space="preserve"> </w:t>
      </w:r>
      <w:r w:rsidR="00365FAF">
        <w:rPr>
          <w:rFonts w:ascii="Times New Roman" w:eastAsia="Times New Roman" w:hAnsi="Times New Roman" w:cs="Times New Roman"/>
          <w:sz w:val="28"/>
          <w:vertAlign w:val="superscript"/>
          <w:lang w:val="en-US"/>
        </w:rPr>
        <w:t>d</w:t>
      </w:r>
      <w:r w:rsidR="00365FAF" w:rsidRPr="00365FAF">
        <w:rPr>
          <w:rFonts w:ascii="Times New Roman" w:eastAsia="Times New Roman" w:hAnsi="Times New Roman" w:cs="Times New Roman"/>
          <w:sz w:val="28"/>
          <w:vertAlign w:val="superscript"/>
          <w:lang w:val="en-US"/>
        </w:rPr>
        <w:t>)</w:t>
      </w:r>
      <w:r w:rsidR="007B7898" w:rsidRPr="00365FAF">
        <w:rPr>
          <w:rFonts w:ascii="Times New Roman" w:eastAsia="Times New Roman" w:hAnsi="Times New Roman" w:cs="Times New Roman"/>
          <w:sz w:val="28"/>
          <w:lang w:val="en-US"/>
        </w:rPr>
        <w:t xml:space="preserve"> </w:t>
      </w:r>
      <w:r>
        <w:rPr>
          <w:rFonts w:ascii="Times New Roman" w:eastAsia="Times New Roman" w:hAnsi="Times New Roman" w:cs="Times New Roman"/>
          <w:sz w:val="28"/>
          <w:lang w:val="en-US"/>
        </w:rPr>
        <w:t xml:space="preserve">and </w:t>
      </w:r>
      <w:proofErr w:type="spellStart"/>
      <w:r w:rsidR="007B7898" w:rsidRPr="00365FAF">
        <w:rPr>
          <w:rFonts w:ascii="Times New Roman" w:eastAsia="Times New Roman" w:hAnsi="Times New Roman" w:cs="Times New Roman"/>
          <w:sz w:val="28"/>
          <w:lang w:val="en-US"/>
        </w:rPr>
        <w:t>Khaibo</w:t>
      </w:r>
      <w:proofErr w:type="spellEnd"/>
      <w:r w:rsidR="007B7898" w:rsidRPr="00365FAF">
        <w:rPr>
          <w:rFonts w:ascii="Times New Roman" w:eastAsia="Times New Roman" w:hAnsi="Times New Roman" w:cs="Times New Roman"/>
          <w:sz w:val="28"/>
          <w:lang w:val="en-US"/>
        </w:rPr>
        <w:t xml:space="preserve"> Sun</w:t>
      </w:r>
      <w:r w:rsidR="00365FAF">
        <w:rPr>
          <w:rFonts w:ascii="Times New Roman" w:eastAsia="Times New Roman" w:hAnsi="Times New Roman" w:cs="Times New Roman"/>
          <w:sz w:val="28"/>
          <w:vertAlign w:val="superscript"/>
          <w:lang w:val="en-US"/>
        </w:rPr>
        <w:t>2</w:t>
      </w:r>
      <w:r w:rsidR="00D543E6">
        <w:rPr>
          <w:rFonts w:ascii="Times New Roman" w:eastAsia="Times New Roman" w:hAnsi="Times New Roman" w:cs="Times New Roman"/>
          <w:sz w:val="28"/>
          <w:vertAlign w:val="superscript"/>
          <w:lang w:val="en-US"/>
        </w:rPr>
        <w:t xml:space="preserve">, </w:t>
      </w:r>
      <w:r w:rsidR="00365FAF" w:rsidRPr="00365FAF">
        <w:rPr>
          <w:rFonts w:ascii="Times New Roman" w:eastAsia="Times New Roman" w:hAnsi="Times New Roman" w:cs="Times New Roman"/>
          <w:sz w:val="28"/>
          <w:vertAlign w:val="superscript"/>
          <w:lang w:val="en-US"/>
        </w:rPr>
        <w:t>e)</w:t>
      </w:r>
    </w:p>
    <w:p w14:paraId="6503A7B6" w14:textId="139832E2" w:rsidR="00365FAF" w:rsidRPr="008522A5" w:rsidRDefault="00D543E6" w:rsidP="008522A5">
      <w:pPr>
        <w:spacing w:after="0" w:line="240" w:lineRule="auto"/>
        <w:jc w:val="center"/>
        <w:rPr>
          <w:rFonts w:ascii="Times New Roman" w:hAnsi="Times New Roman" w:cs="Times New Roman"/>
          <w:i/>
          <w:iCs/>
          <w:lang w:val="en-US"/>
        </w:rPr>
      </w:pPr>
      <w:bookmarkStart w:id="0" w:name="_Hlk207025474"/>
      <w:bookmarkStart w:id="1" w:name="_Hlk207101151"/>
      <w:r w:rsidRPr="008522A5">
        <w:rPr>
          <w:rFonts w:ascii="Times New Roman" w:hAnsi="Times New Roman" w:cs="Times New Roman"/>
          <w:bCs/>
          <w:sz w:val="20"/>
          <w:vertAlign w:val="superscript"/>
          <w:lang w:val="en-US"/>
        </w:rPr>
        <w:t>1</w:t>
      </w:r>
      <w:r w:rsidRPr="008522A5">
        <w:rPr>
          <w:rFonts w:ascii="Times New Roman" w:hAnsi="Times New Roman" w:cs="Times New Roman"/>
          <w:bCs/>
          <w:i/>
          <w:iCs/>
          <w:sz w:val="20"/>
          <w:lang w:val="en-US"/>
        </w:rPr>
        <w:t xml:space="preserve">Tashkent State Transport University, 1 </w:t>
      </w:r>
      <w:proofErr w:type="spellStart"/>
      <w:r w:rsidRPr="008522A5">
        <w:rPr>
          <w:rFonts w:ascii="Times New Roman" w:hAnsi="Times New Roman" w:cs="Times New Roman"/>
          <w:bCs/>
          <w:i/>
          <w:iCs/>
          <w:sz w:val="20"/>
          <w:lang w:val="en-US"/>
        </w:rPr>
        <w:t>Temiryulchilar</w:t>
      </w:r>
      <w:proofErr w:type="spellEnd"/>
      <w:r w:rsidRPr="008522A5">
        <w:rPr>
          <w:rFonts w:ascii="Times New Roman" w:hAnsi="Times New Roman" w:cs="Times New Roman"/>
          <w:bCs/>
          <w:i/>
          <w:iCs/>
          <w:sz w:val="20"/>
          <w:lang w:val="en-US"/>
        </w:rPr>
        <w:t xml:space="preserve"> St., Tashkent 100167, Uzbekistan</w:t>
      </w:r>
      <w:bookmarkEnd w:id="0"/>
      <w:bookmarkEnd w:id="1"/>
      <w:r w:rsidRPr="008522A5">
        <w:rPr>
          <w:rFonts w:ascii="Times New Roman" w:hAnsi="Times New Roman" w:cs="Times New Roman"/>
          <w:i/>
          <w:szCs w:val="24"/>
          <w:lang w:val="en-US"/>
        </w:rPr>
        <w:br/>
      </w:r>
      <w:r w:rsidRPr="008522A5">
        <w:rPr>
          <w:rFonts w:ascii="Times New Roman" w:hAnsi="Times New Roman" w:cs="Times New Roman"/>
          <w:sz w:val="20"/>
          <w:szCs w:val="20"/>
          <w:vertAlign w:val="superscript"/>
          <w:lang w:val="en-US"/>
        </w:rPr>
        <w:t>2</w:t>
      </w:r>
      <w:r w:rsidRPr="008522A5">
        <w:rPr>
          <w:rFonts w:ascii="Times New Roman" w:hAnsi="Times New Roman" w:cs="Times New Roman"/>
          <w:i/>
          <w:iCs/>
          <w:sz w:val="20"/>
          <w:szCs w:val="20"/>
          <w:lang w:val="en-US"/>
        </w:rPr>
        <w:t xml:space="preserve">School of Materials and Energy, Foshan University, No. 18 </w:t>
      </w:r>
      <w:proofErr w:type="spellStart"/>
      <w:r w:rsidRPr="008522A5">
        <w:rPr>
          <w:rFonts w:ascii="Times New Roman" w:hAnsi="Times New Roman" w:cs="Times New Roman"/>
          <w:i/>
          <w:iCs/>
          <w:sz w:val="20"/>
          <w:szCs w:val="20"/>
          <w:lang w:val="en-US"/>
        </w:rPr>
        <w:t>Jiangwan</w:t>
      </w:r>
      <w:proofErr w:type="spellEnd"/>
      <w:r w:rsidRPr="008522A5">
        <w:rPr>
          <w:rFonts w:ascii="Times New Roman" w:hAnsi="Times New Roman" w:cs="Times New Roman"/>
          <w:i/>
          <w:iCs/>
          <w:sz w:val="20"/>
          <w:szCs w:val="20"/>
          <w:lang w:val="en-US"/>
        </w:rPr>
        <w:t xml:space="preserve"> 1st Road, </w:t>
      </w:r>
      <w:proofErr w:type="spellStart"/>
      <w:r w:rsidRPr="008522A5">
        <w:rPr>
          <w:rFonts w:ascii="Times New Roman" w:hAnsi="Times New Roman" w:cs="Times New Roman"/>
          <w:i/>
          <w:iCs/>
          <w:sz w:val="20"/>
          <w:szCs w:val="20"/>
          <w:lang w:val="en-US"/>
        </w:rPr>
        <w:t>Chancheng</w:t>
      </w:r>
      <w:proofErr w:type="spellEnd"/>
      <w:r w:rsidRPr="008522A5">
        <w:rPr>
          <w:rFonts w:ascii="Times New Roman" w:hAnsi="Times New Roman" w:cs="Times New Roman"/>
          <w:i/>
          <w:iCs/>
          <w:sz w:val="20"/>
          <w:szCs w:val="20"/>
          <w:lang w:val="en-US"/>
        </w:rPr>
        <w:t xml:space="preserve"> District, Foshan, Guangdong 528000, People’s Republic of China</w:t>
      </w:r>
    </w:p>
    <w:p w14:paraId="3BC99AD9" w14:textId="3845E523" w:rsidR="00365FAF" w:rsidRPr="008522A5" w:rsidRDefault="008522A5" w:rsidP="008522A5">
      <w:pPr>
        <w:widowControl w:val="0"/>
        <w:tabs>
          <w:tab w:val="left" w:pos="142"/>
          <w:tab w:val="left" w:pos="9498"/>
        </w:tabs>
        <w:autoSpaceDE w:val="0"/>
        <w:autoSpaceDN w:val="0"/>
        <w:spacing w:before="360" w:after="360" w:line="240" w:lineRule="auto"/>
        <w:jc w:val="center"/>
        <w:rPr>
          <w:rFonts w:ascii="Times New Roman" w:eastAsia="Times New Roman" w:hAnsi="Times New Roman" w:cs="Times New Roman"/>
          <w:i/>
          <w:iCs/>
          <w:color w:val="000000" w:themeColor="text1"/>
          <w:sz w:val="20"/>
          <w:szCs w:val="20"/>
          <w:lang w:val="en-US"/>
        </w:rPr>
      </w:pPr>
      <w:r w:rsidRPr="008522A5">
        <w:rPr>
          <w:rFonts w:ascii="Times New Roman" w:eastAsia="Times New Roman" w:hAnsi="Times New Roman" w:cs="Times New Roman"/>
          <w:i/>
          <w:iCs/>
          <w:color w:val="000000" w:themeColor="text1"/>
          <w:sz w:val="20"/>
          <w:szCs w:val="20"/>
          <w:vertAlign w:val="superscript"/>
          <w:lang w:val="en-US"/>
        </w:rPr>
        <w:t>a)</w:t>
      </w:r>
      <w:r w:rsidRPr="008522A5">
        <w:rPr>
          <w:rFonts w:ascii="Times New Roman" w:eastAsia="Times New Roman" w:hAnsi="Times New Roman" w:cs="Times New Roman"/>
          <w:i/>
          <w:iCs/>
          <w:color w:val="000000" w:themeColor="text1"/>
          <w:sz w:val="20"/>
          <w:szCs w:val="20"/>
          <w:vertAlign w:val="superscript"/>
          <w:lang w:val="en-US"/>
        </w:rPr>
        <w:t xml:space="preserve"> </w:t>
      </w:r>
      <w:hyperlink r:id="rId8" w:history="1">
        <w:r w:rsidRPr="008522A5">
          <w:rPr>
            <w:rStyle w:val="ab"/>
            <w:rFonts w:ascii="Times New Roman" w:eastAsia="Times New Roman" w:hAnsi="Times New Roman" w:cs="Times New Roman"/>
            <w:i/>
            <w:iCs/>
            <w:color w:val="000000" w:themeColor="text1"/>
            <w:sz w:val="20"/>
            <w:szCs w:val="20"/>
            <w:u w:val="none"/>
            <w:lang w:val="en-US"/>
          </w:rPr>
          <w:t>berdiev1962@inbox.ru</w:t>
        </w:r>
      </w:hyperlink>
      <w:r w:rsidRPr="008522A5">
        <w:rPr>
          <w:rFonts w:ascii="Times New Roman" w:eastAsia="Times New Roman" w:hAnsi="Times New Roman" w:cs="Times New Roman"/>
          <w:i/>
          <w:iCs/>
          <w:color w:val="000000" w:themeColor="text1"/>
          <w:sz w:val="20"/>
          <w:szCs w:val="20"/>
          <w:lang w:val="en-US"/>
        </w:rPr>
        <w:br/>
      </w:r>
      <w:r w:rsidRPr="008522A5">
        <w:rPr>
          <w:rFonts w:ascii="Times New Roman" w:eastAsia="Times New Roman" w:hAnsi="Times New Roman" w:cs="Times New Roman"/>
          <w:i/>
          <w:iCs/>
          <w:color w:val="000000" w:themeColor="text1"/>
          <w:sz w:val="20"/>
          <w:szCs w:val="20"/>
          <w:vertAlign w:val="superscript"/>
          <w:lang w:val="en-US"/>
        </w:rPr>
        <w:t>b)</w:t>
      </w:r>
      <w:r w:rsidRPr="008522A5">
        <w:rPr>
          <w:rFonts w:ascii="Times New Roman" w:eastAsia="Times New Roman" w:hAnsi="Times New Roman" w:cs="Times New Roman"/>
          <w:i/>
          <w:iCs/>
          <w:color w:val="000000" w:themeColor="text1"/>
          <w:sz w:val="20"/>
          <w:szCs w:val="20"/>
          <w:vertAlign w:val="superscript"/>
          <w:lang w:val="en-US"/>
        </w:rPr>
        <w:t xml:space="preserve"> </w:t>
      </w:r>
      <w:hyperlink r:id="rId9" w:history="1">
        <w:r w:rsidRPr="008522A5">
          <w:rPr>
            <w:rStyle w:val="ab"/>
            <w:rFonts w:ascii="Times New Roman" w:eastAsia="Times New Roman" w:hAnsi="Times New Roman" w:cs="Times New Roman"/>
            <w:i/>
            <w:iCs/>
            <w:color w:val="000000" w:themeColor="text1"/>
            <w:sz w:val="20"/>
            <w:szCs w:val="20"/>
            <w:u w:val="none"/>
            <w:lang w:val="en-US"/>
          </w:rPr>
          <w:t>boltaev_o@tstu.uz</w:t>
        </w:r>
      </w:hyperlink>
      <w:r w:rsidRPr="008522A5">
        <w:rPr>
          <w:rFonts w:ascii="Times New Roman" w:eastAsia="Times New Roman" w:hAnsi="Times New Roman" w:cs="Times New Roman"/>
          <w:i/>
          <w:iCs/>
          <w:color w:val="000000" w:themeColor="text1"/>
          <w:sz w:val="20"/>
          <w:szCs w:val="20"/>
          <w:lang w:val="en-US"/>
        </w:rPr>
        <w:br/>
      </w:r>
      <w:r w:rsidRPr="008522A5">
        <w:rPr>
          <w:rFonts w:ascii="Times New Roman" w:eastAsia="Times New Roman" w:hAnsi="Times New Roman" w:cs="Times New Roman"/>
          <w:i/>
          <w:iCs/>
          <w:color w:val="000000" w:themeColor="text1"/>
          <w:sz w:val="20"/>
          <w:szCs w:val="20"/>
          <w:vertAlign w:val="superscript"/>
          <w:lang w:val="en-US"/>
        </w:rPr>
        <w:t xml:space="preserve">c) </w:t>
      </w:r>
      <w:r w:rsidR="00365FAF" w:rsidRPr="008522A5">
        <w:rPr>
          <w:rFonts w:ascii="Times New Roman" w:eastAsia="Times New Roman" w:hAnsi="Times New Roman" w:cs="Times New Roman"/>
          <w:i/>
          <w:iCs/>
          <w:color w:val="000000" w:themeColor="text1"/>
          <w:sz w:val="20"/>
          <w:szCs w:val="20"/>
          <w:lang w:val="en-US"/>
        </w:rPr>
        <w:t>Corresponding author:</w:t>
      </w:r>
      <w:r w:rsidRPr="008522A5">
        <w:rPr>
          <w:rFonts w:ascii="Times New Roman" w:eastAsia="Times New Roman" w:hAnsi="Times New Roman" w:cs="Times New Roman"/>
          <w:i/>
          <w:iCs/>
          <w:color w:val="000000" w:themeColor="text1"/>
          <w:sz w:val="20"/>
          <w:szCs w:val="20"/>
          <w:vertAlign w:val="superscript"/>
          <w:lang w:val="en-US"/>
        </w:rPr>
        <w:t xml:space="preserve"> </w:t>
      </w:r>
      <w:hyperlink r:id="rId10" w:history="1">
        <w:r w:rsidRPr="008522A5">
          <w:rPr>
            <w:rStyle w:val="ab"/>
            <w:rFonts w:ascii="Times New Roman" w:eastAsia="Times New Roman" w:hAnsi="Times New Roman" w:cs="Times New Roman"/>
            <w:i/>
            <w:iCs/>
            <w:color w:val="000000" w:themeColor="text1"/>
            <w:sz w:val="20"/>
            <w:szCs w:val="20"/>
            <w:u w:val="none"/>
            <w:lang w:val="en-US"/>
          </w:rPr>
          <w:t>sulaymonov_2020@bk.ru</w:t>
        </w:r>
      </w:hyperlink>
      <w:r w:rsidRPr="008522A5">
        <w:rPr>
          <w:rFonts w:ascii="Times New Roman" w:eastAsia="Times New Roman" w:hAnsi="Times New Roman" w:cs="Times New Roman"/>
          <w:i/>
          <w:iCs/>
          <w:color w:val="000000" w:themeColor="text1"/>
          <w:sz w:val="20"/>
          <w:szCs w:val="20"/>
          <w:lang w:val="en-US"/>
        </w:rPr>
        <w:br/>
      </w:r>
      <w:r w:rsidR="00365FAF" w:rsidRPr="008522A5">
        <w:rPr>
          <w:rFonts w:ascii="Times New Roman" w:eastAsia="Times New Roman" w:hAnsi="Times New Roman" w:cs="Times New Roman"/>
          <w:i/>
          <w:iCs/>
          <w:color w:val="000000" w:themeColor="text1"/>
          <w:sz w:val="20"/>
          <w:szCs w:val="20"/>
          <w:lang w:val="en-US"/>
        </w:rPr>
        <w:t xml:space="preserve"> </w:t>
      </w:r>
      <w:r w:rsidR="00365FAF" w:rsidRPr="008522A5">
        <w:rPr>
          <w:rFonts w:ascii="Times New Roman" w:eastAsia="Times New Roman" w:hAnsi="Times New Roman" w:cs="Times New Roman"/>
          <w:i/>
          <w:iCs/>
          <w:color w:val="000000" w:themeColor="text1"/>
          <w:sz w:val="20"/>
          <w:szCs w:val="20"/>
          <w:vertAlign w:val="superscript"/>
          <w:lang w:val="en-US"/>
        </w:rPr>
        <w:t>d)</w:t>
      </w:r>
      <w:r w:rsidRPr="008522A5">
        <w:rPr>
          <w:rFonts w:ascii="Times New Roman" w:eastAsia="Times New Roman" w:hAnsi="Times New Roman" w:cs="Times New Roman"/>
          <w:i/>
          <w:iCs/>
          <w:color w:val="000000" w:themeColor="text1"/>
          <w:sz w:val="20"/>
          <w:szCs w:val="20"/>
          <w:vertAlign w:val="superscript"/>
          <w:lang w:val="en-US"/>
        </w:rPr>
        <w:t xml:space="preserve"> </w:t>
      </w:r>
      <w:hyperlink r:id="rId11" w:history="1">
        <w:r w:rsidRPr="008522A5">
          <w:rPr>
            <w:rStyle w:val="ab"/>
            <w:rFonts w:ascii="Times New Roman" w:eastAsia="Times New Roman" w:hAnsi="Times New Roman" w:cs="Times New Roman"/>
            <w:i/>
            <w:iCs/>
            <w:color w:val="000000" w:themeColor="text1"/>
            <w:sz w:val="20"/>
            <w:szCs w:val="20"/>
            <w:u w:val="none"/>
            <w:lang w:val="en-US"/>
          </w:rPr>
          <w:t>turgunova_tstu@mail.ru</w:t>
        </w:r>
      </w:hyperlink>
      <w:r w:rsidRPr="008522A5">
        <w:rPr>
          <w:rFonts w:ascii="Times New Roman" w:eastAsia="Times New Roman" w:hAnsi="Times New Roman" w:cs="Times New Roman"/>
          <w:i/>
          <w:iCs/>
          <w:color w:val="000000" w:themeColor="text1"/>
          <w:sz w:val="20"/>
          <w:szCs w:val="20"/>
          <w:lang w:val="en-US"/>
        </w:rPr>
        <w:br/>
      </w:r>
      <w:r w:rsidR="00365FAF" w:rsidRPr="008522A5">
        <w:rPr>
          <w:rFonts w:ascii="Times New Roman" w:eastAsia="Times New Roman" w:hAnsi="Times New Roman" w:cs="Times New Roman"/>
          <w:i/>
          <w:iCs/>
          <w:color w:val="000000" w:themeColor="text1"/>
          <w:sz w:val="20"/>
          <w:szCs w:val="20"/>
          <w:vertAlign w:val="superscript"/>
          <w:lang w:val="en-US"/>
        </w:rPr>
        <w:t>e)</w:t>
      </w:r>
      <w:r w:rsidRPr="008522A5">
        <w:rPr>
          <w:rFonts w:ascii="Times New Roman" w:eastAsia="Times New Roman" w:hAnsi="Times New Roman" w:cs="Times New Roman"/>
          <w:i/>
          <w:iCs/>
          <w:color w:val="000000" w:themeColor="text1"/>
          <w:sz w:val="20"/>
          <w:szCs w:val="20"/>
          <w:vertAlign w:val="superscript"/>
          <w:lang w:val="en-US"/>
        </w:rPr>
        <w:t xml:space="preserve"> </w:t>
      </w:r>
      <w:r w:rsidR="008D61D9" w:rsidRPr="008522A5">
        <w:rPr>
          <w:rFonts w:ascii="Times New Roman" w:eastAsia="Times New Roman" w:hAnsi="Times New Roman" w:cs="Times New Roman"/>
          <w:i/>
          <w:iCs/>
          <w:color w:val="000000" w:themeColor="text1"/>
          <w:sz w:val="20"/>
          <w:szCs w:val="20"/>
          <w:lang w:val="en-US"/>
        </w:rPr>
        <w:t>smefu_ksun@mail.ru</w:t>
      </w:r>
    </w:p>
    <w:p w14:paraId="3ABEFD21" w14:textId="4814A24B" w:rsidR="00446A79" w:rsidRPr="008522A5" w:rsidRDefault="008522A5" w:rsidP="008522A5">
      <w:pPr>
        <w:spacing w:after="360" w:line="240" w:lineRule="auto"/>
        <w:ind w:left="289" w:right="289"/>
        <w:jc w:val="both"/>
        <w:rPr>
          <w:rFonts w:ascii="Times New Roman" w:eastAsia="Times New Roman" w:hAnsi="Times New Roman" w:cs="Times New Roman"/>
          <w:sz w:val="18"/>
          <w:lang w:val="en-US"/>
        </w:rPr>
      </w:pPr>
      <w:proofErr w:type="spellStart"/>
      <w:r w:rsidRPr="008522A5">
        <w:rPr>
          <w:rFonts w:ascii="Times New Roman" w:eastAsia="Times" w:hAnsi="Times New Roman" w:cs="Times New Roman"/>
          <w:b/>
          <w:sz w:val="18"/>
          <w:szCs w:val="18"/>
        </w:rPr>
        <w:t>Abstract</w:t>
      </w:r>
      <w:proofErr w:type="spellEnd"/>
      <w:r w:rsidRPr="008522A5">
        <w:rPr>
          <w:rFonts w:ascii="Times New Roman" w:eastAsia="Times" w:hAnsi="Times New Roman" w:cs="Times New Roman"/>
          <w:b/>
          <w:sz w:val="18"/>
          <w:szCs w:val="18"/>
        </w:rPr>
        <w:t>.</w:t>
      </w:r>
      <w:r w:rsidR="00B81D36" w:rsidRPr="008522A5">
        <w:rPr>
          <w:rFonts w:ascii="Times New Roman" w:eastAsia="Times" w:hAnsi="Times New Roman" w:cs="Times New Roman"/>
          <w:b/>
          <w:color w:val="000000"/>
          <w:sz w:val="18"/>
          <w:szCs w:val="18"/>
          <w:lang w:val="sk-SK" w:eastAsia="sk-SK"/>
        </w:rPr>
        <w:t xml:space="preserve"> </w:t>
      </w:r>
      <w:r w:rsidR="00446A79" w:rsidRPr="008522A5">
        <w:rPr>
          <w:rFonts w:ascii="Times New Roman" w:eastAsia="Times New Roman" w:hAnsi="Times New Roman" w:cs="Times New Roman"/>
          <w:sz w:val="18"/>
          <w:lang w:val="en-US"/>
        </w:rPr>
        <w:t>Addressing one of the priority areas of scientific research and technological development, which is the implementation of technical and organizational measures associated with energy saving and reasonable consumption of energy, this article is devoted to an issue that is an aspect of strategic learning. It also touches upon the proliferation of the use of high specific consumption magnetic materials as they have entered the manufacturing of the micromachines. One especially promising line of work in the subject would be the generation of a zero-waste technology towards making the magnetic cores and conductors involved in electrical engineering through the employment of the powder metallurgy techniques in manufacturing processes. Electrical steel losses can be minimized, many labor-intensive processes can be removed due to the use of soft magnetic materials prepared with the help of the process of powder metallurgy, the technological process can be automated, and the necessary parts dimensional accuracy cannot be achieved without a series of fine machining operations. The use of soft magnetic materials in the construction of electrical machines allows to achieve much higher efficiency coefficient η and to distinguish the losses known as hysteresis.</w:t>
      </w:r>
    </w:p>
    <w:p w14:paraId="537C98D1" w14:textId="4C01BA26" w:rsidR="00974B2C" w:rsidRPr="00E62F8B" w:rsidRDefault="00012C1B" w:rsidP="008522A5">
      <w:pPr>
        <w:spacing w:after="0" w:line="240" w:lineRule="auto"/>
        <w:ind w:left="289" w:right="289"/>
        <w:jc w:val="both"/>
        <w:rPr>
          <w:rFonts w:ascii="Times New Roman" w:eastAsia="Times" w:hAnsi="Times New Roman" w:cs="Times New Roman"/>
          <w:color w:val="000000"/>
          <w:sz w:val="18"/>
          <w:szCs w:val="18"/>
          <w:lang w:val="sk-SK" w:eastAsia="sk-SK"/>
        </w:rPr>
      </w:pPr>
      <w:r w:rsidRPr="00E62F8B">
        <w:rPr>
          <w:rFonts w:ascii="Times New Roman" w:eastAsia="Times" w:hAnsi="Times New Roman" w:cs="Times New Roman"/>
          <w:b/>
          <w:color w:val="000000"/>
          <w:sz w:val="18"/>
          <w:szCs w:val="18"/>
          <w:lang w:val="sk-SK" w:eastAsia="sk-SK"/>
        </w:rPr>
        <w:t>Keywords</w:t>
      </w:r>
      <w:r w:rsidR="00E62F8B">
        <w:rPr>
          <w:rFonts w:ascii="Times New Roman" w:eastAsia="Times" w:hAnsi="Times New Roman" w:cs="Times New Roman"/>
          <w:b/>
          <w:color w:val="000000"/>
          <w:sz w:val="18"/>
          <w:szCs w:val="18"/>
          <w:lang w:val="sk-SK" w:eastAsia="sk-SK"/>
        </w:rPr>
        <w:t>:</w:t>
      </w:r>
      <w:r w:rsidRPr="00E62F8B">
        <w:rPr>
          <w:rFonts w:ascii="Times New Roman" w:eastAsia="Times" w:hAnsi="Times New Roman" w:cs="Times New Roman"/>
          <w:b/>
          <w:color w:val="000000"/>
          <w:sz w:val="18"/>
          <w:szCs w:val="18"/>
          <w:lang w:val="sk-SK" w:eastAsia="sk-SK"/>
        </w:rPr>
        <w:t xml:space="preserve"> </w:t>
      </w:r>
      <w:r w:rsidR="003F0C65" w:rsidRPr="00E62F8B">
        <w:rPr>
          <w:rFonts w:ascii="Times New Roman" w:eastAsia="Times" w:hAnsi="Times New Roman" w:cs="Times New Roman"/>
          <w:color w:val="000000"/>
          <w:sz w:val="18"/>
          <w:szCs w:val="18"/>
          <w:lang w:val="sk-SK" w:eastAsia="sk-SK"/>
        </w:rPr>
        <w:t>Energy-efficient electric motors, soft magnetic materials, power reserves, peak values, magnetic anisotropy, soft magnetic alloys, efficiency coefficient, induction, hysteresis losses</w:t>
      </w:r>
      <w:r w:rsidRPr="00E62F8B">
        <w:rPr>
          <w:rFonts w:ascii="Times New Roman" w:eastAsia="Times" w:hAnsi="Times New Roman" w:cs="Times New Roman"/>
          <w:color w:val="000000"/>
          <w:sz w:val="18"/>
          <w:szCs w:val="18"/>
          <w:lang w:val="sk-SK" w:eastAsia="sk-SK"/>
        </w:rPr>
        <w:t>.</w:t>
      </w:r>
    </w:p>
    <w:p w14:paraId="6170D1BD" w14:textId="36795E30" w:rsidR="00E62F8B" w:rsidRPr="008522A5" w:rsidRDefault="008D61D9" w:rsidP="008522A5">
      <w:pPr>
        <w:spacing w:before="240" w:after="240" w:line="240" w:lineRule="auto"/>
        <w:jc w:val="center"/>
        <w:rPr>
          <w:rFonts w:ascii="Times New Roman" w:hAnsi="Times New Roman" w:cs="Times New Roman"/>
          <w:b/>
          <w:sz w:val="24"/>
          <w:szCs w:val="24"/>
          <w:lang w:val="sk-SK" w:eastAsia="sk-SK"/>
        </w:rPr>
      </w:pPr>
      <w:r w:rsidRPr="008522A5">
        <w:rPr>
          <w:rFonts w:ascii="Times New Roman" w:hAnsi="Times New Roman" w:cs="Times New Roman"/>
          <w:b/>
          <w:sz w:val="24"/>
          <w:szCs w:val="24"/>
          <w:lang w:val="sk-SK" w:eastAsia="sk-SK"/>
        </w:rPr>
        <w:t>INTRODUCTION</w:t>
      </w:r>
    </w:p>
    <w:p w14:paraId="4A71CCC4" w14:textId="77777777" w:rsidR="00681848" w:rsidRDefault="00681848" w:rsidP="008522A5">
      <w:pPr>
        <w:pStyle w:val="ae"/>
        <w:spacing w:before="0" w:beforeAutospacing="0" w:after="0" w:afterAutospacing="0"/>
        <w:ind w:firstLine="284"/>
        <w:jc w:val="both"/>
        <w:rPr>
          <w:rFonts w:eastAsia="Times"/>
          <w:color w:val="000000"/>
          <w:sz w:val="20"/>
          <w:szCs w:val="20"/>
          <w:lang w:val="sk-SK" w:eastAsia="sk-SK"/>
        </w:rPr>
      </w:pPr>
      <w:r w:rsidRPr="00681848">
        <w:rPr>
          <w:rFonts w:eastAsia="Times"/>
          <w:color w:val="000000"/>
          <w:sz w:val="20"/>
          <w:szCs w:val="20"/>
          <w:lang w:val="sk-SK" w:eastAsia="sk-SK"/>
        </w:rPr>
        <w:t>Conservation of energy and resources is in the list of priorities of scientific research and technology development. Society has vast resources put in the production of energy and one of them is electricity. Meanwhile, the energy resources utilized per a unit of production are three times greater compared to the locally developed industrialized nations. The growing challenges associated with limited fuel reserves are being addressed at the cost of significant material, labor, and intellectual resources [1, 3]. In the meantime, the technical and organizational steps connected with the issue of energy conservation and rational use of energy demand much less expenditures. The analysis of the situation and the state of the significant national economic problem, i.e. the enhancement of the resource efficiency of alternating current drives, illustrates the necessity to formulate the new concept. This involves creating energy-saving soft magnetic materials by utilizing encapsulated powders for electric motor components, as well as developing modern starting devices for asynchronous electric drives and refining methods to assess the energy and resource efficiency of their implementation [2, 5].</w:t>
      </w:r>
    </w:p>
    <w:p w14:paraId="43168652" w14:textId="7A756142" w:rsidR="00681848" w:rsidRDefault="00681848" w:rsidP="008522A5">
      <w:pPr>
        <w:pStyle w:val="ae"/>
        <w:spacing w:before="0" w:beforeAutospacing="0" w:after="0" w:afterAutospacing="0"/>
        <w:ind w:firstLine="284"/>
        <w:jc w:val="both"/>
        <w:rPr>
          <w:rFonts w:eastAsia="Times"/>
          <w:color w:val="000000"/>
          <w:sz w:val="20"/>
          <w:szCs w:val="20"/>
          <w:lang w:val="sk-SK" w:eastAsia="sk-SK"/>
        </w:rPr>
      </w:pPr>
      <w:r w:rsidRPr="00681848">
        <w:rPr>
          <w:rFonts w:eastAsia="Times"/>
          <w:color w:val="000000"/>
          <w:sz w:val="20"/>
          <w:szCs w:val="20"/>
          <w:lang w:val="sk-SK" w:eastAsia="sk-SK"/>
        </w:rPr>
        <w:t xml:space="preserve">The production of soft magnetic materials is another new direction others are using, encapsulated powders form here with a layer of alloying elements coated on the base component. These alloying components can be organic or inorganic materials [1, 2, 4]. The encapsulation process for each individual particle enables the formation of a thin and uniformly distributed electrical insulation layer on the surface of iron powder or its alloys while maintaining a high concentration of ferromagnetic material per unit volume [3, 4]. The method has a large effect in raising the specific electrical resistance thereby restricting eddy currents and magnetic losses. Materials composed of these powders are isotropic in that all directions are magnetically identical and thus they do not resemble electrical steels. Some of the most significant characteristics of modern soft magnetic materials that are developed in top countries of the world are seen in Table 1. When the organic insulating materials are placed in the first powder, the pressed </w:t>
      </w:r>
      <w:r w:rsidRPr="00681848">
        <w:rPr>
          <w:rFonts w:eastAsia="Times"/>
          <w:color w:val="000000"/>
          <w:sz w:val="20"/>
          <w:szCs w:val="20"/>
          <w:lang w:val="sk-SK" w:eastAsia="sk-SK"/>
        </w:rPr>
        <w:lastRenderedPageBreak/>
        <w:t xml:space="preserve">product will then have to be polymerized or annealed upon the surface layer produced on the powder particles at temperature of maximum 500 </w:t>
      </w:r>
      <w:r w:rsidR="00426C40">
        <w:rPr>
          <w:rFonts w:eastAsia="Times"/>
          <w:color w:val="000000"/>
          <w:sz w:val="20"/>
          <w:szCs w:val="20"/>
          <w:vertAlign w:val="superscript"/>
          <w:lang w:val="sk-SK" w:eastAsia="sk-SK"/>
        </w:rPr>
        <w:t>0</w:t>
      </w:r>
      <w:r w:rsidRPr="00681848">
        <w:rPr>
          <w:rFonts w:eastAsia="Times"/>
          <w:color w:val="000000"/>
          <w:sz w:val="20"/>
          <w:szCs w:val="20"/>
          <w:lang w:val="sk-SK" w:eastAsia="sk-SK"/>
        </w:rPr>
        <w:t>C. Such samples exhibit high specific electrical resistance, which prevents the formation of eddy currents, allowing these materials to be used in alternating electromagnetic fields [2, 4, 7]. This research work will explore the influence of the conditions of composite material synthesis which is of metallic iron powders with insulating coating on the magnetic characteristics.</w:t>
      </w:r>
    </w:p>
    <w:p w14:paraId="7236867B" w14:textId="6758609C" w:rsidR="00E62F8B" w:rsidRPr="008522A5" w:rsidRDefault="008D61D9" w:rsidP="008522A5">
      <w:pPr>
        <w:spacing w:before="240" w:after="240" w:line="240" w:lineRule="auto"/>
        <w:jc w:val="center"/>
        <w:rPr>
          <w:rFonts w:ascii="Times New Roman" w:hAnsi="Times New Roman" w:cs="Times New Roman"/>
          <w:b/>
          <w:sz w:val="24"/>
          <w:szCs w:val="24"/>
          <w:lang w:val="sk-SK" w:eastAsia="sk-SK"/>
        </w:rPr>
      </w:pPr>
      <w:r w:rsidRPr="008522A5">
        <w:rPr>
          <w:rFonts w:ascii="Times New Roman" w:hAnsi="Times New Roman" w:cs="Times New Roman"/>
          <w:b/>
          <w:sz w:val="24"/>
          <w:szCs w:val="24"/>
          <w:lang w:val="sk-SK" w:eastAsia="sk-SK"/>
        </w:rPr>
        <w:t>SYNTHESIS OF SAMPLES AND RESEARCH METHODS</w:t>
      </w:r>
    </w:p>
    <w:p w14:paraId="0683F449" w14:textId="77777777" w:rsidR="00426C40" w:rsidRDefault="00426C40" w:rsidP="008522A5">
      <w:pPr>
        <w:pStyle w:val="ae"/>
        <w:spacing w:before="0" w:beforeAutospacing="0" w:after="0" w:afterAutospacing="0"/>
        <w:ind w:firstLine="284"/>
        <w:jc w:val="both"/>
        <w:rPr>
          <w:rFonts w:eastAsia="Times"/>
          <w:color w:val="000000"/>
          <w:sz w:val="20"/>
          <w:szCs w:val="20"/>
          <w:lang w:val="sk-SK" w:eastAsia="sk-SK"/>
        </w:rPr>
      </w:pPr>
      <w:r w:rsidRPr="00426C40">
        <w:rPr>
          <w:rFonts w:eastAsia="Times"/>
          <w:color w:val="000000"/>
          <w:sz w:val="20"/>
          <w:szCs w:val="20"/>
          <w:lang w:val="sk-SK" w:eastAsia="sk-SK"/>
        </w:rPr>
        <w:t>Resin, rubber, and these kind of materials are usually used as an insulating layer in most of the studies. However, this approach leads to a slight decrease in magnetic induction and magnetic permeability [5, 6]. According to the major soft magnetic powders developer and maker, the powder manufacturers, called it as the leading manufacturer of soft magnetic powders- Ho-gans, that to eliminate the eddy current, every individual particle in a powder should comprise an insulation layer. These blocking materials could be either organic or inorganic additives.</w:t>
      </w:r>
    </w:p>
    <w:p w14:paraId="077BE9C4" w14:textId="3481FEE3" w:rsidR="00E62F8B" w:rsidRPr="008522A5" w:rsidRDefault="008D61D9" w:rsidP="008522A5">
      <w:pPr>
        <w:spacing w:before="240" w:after="240" w:line="240" w:lineRule="auto"/>
        <w:jc w:val="center"/>
        <w:rPr>
          <w:rFonts w:ascii="Times New Roman" w:hAnsi="Times New Roman" w:cs="Times New Roman"/>
          <w:b/>
          <w:sz w:val="24"/>
          <w:szCs w:val="24"/>
          <w:lang w:val="sk-SK" w:eastAsia="sk-SK"/>
        </w:rPr>
      </w:pPr>
      <w:r w:rsidRPr="008522A5">
        <w:rPr>
          <w:rFonts w:ascii="Times New Roman" w:hAnsi="Times New Roman" w:cs="Times New Roman"/>
          <w:b/>
          <w:sz w:val="24"/>
          <w:szCs w:val="24"/>
          <w:lang w:val="sk-SK" w:eastAsia="sk-SK"/>
        </w:rPr>
        <w:t>EXPERIMENTAL RESULTS AND DISCUSSION</w:t>
      </w:r>
    </w:p>
    <w:p w14:paraId="7117243B" w14:textId="37C3C132" w:rsidR="00527A9E" w:rsidRPr="00426C40" w:rsidRDefault="00527A9E" w:rsidP="008522A5">
      <w:pPr>
        <w:pStyle w:val="ae"/>
        <w:spacing w:before="0" w:beforeAutospacing="0" w:after="0" w:afterAutospacing="0"/>
        <w:ind w:firstLine="284"/>
        <w:jc w:val="both"/>
        <w:rPr>
          <w:rFonts w:eastAsia="Times"/>
          <w:color w:val="000000"/>
          <w:sz w:val="20"/>
          <w:szCs w:val="20"/>
          <w:lang w:val="sk-SK" w:eastAsia="sk-SK"/>
        </w:rPr>
      </w:pPr>
      <w:r w:rsidRPr="00E62F8B">
        <w:rPr>
          <w:rFonts w:eastAsia="Times"/>
          <w:color w:val="000000"/>
          <w:sz w:val="20"/>
          <w:szCs w:val="20"/>
          <w:lang w:val="sk-SK" w:eastAsia="sk-SK"/>
        </w:rPr>
        <w:t xml:space="preserve">The production process is based on traditional powder metallurgy methods. Various resins are used for insulation, and to improve the pressing of such powder, a lubricant such as </w:t>
      </w:r>
      <w:r w:rsidRPr="00426C40">
        <w:rPr>
          <w:rFonts w:eastAsia="Times"/>
          <w:color w:val="000000"/>
          <w:sz w:val="20"/>
          <w:szCs w:val="20"/>
          <w:lang w:val="sk-SK" w:eastAsia="sk-SK"/>
        </w:rPr>
        <w:t>Kenolube</w:t>
      </w:r>
      <w:r w:rsidRPr="00E62F8B">
        <w:rPr>
          <w:rFonts w:eastAsia="Times"/>
          <w:color w:val="000000"/>
          <w:sz w:val="20"/>
          <w:szCs w:val="20"/>
          <w:lang w:val="sk-SK" w:eastAsia="sk-SK"/>
        </w:rPr>
        <w:t xml:space="preserve"> is recommended in the range of 0.3–0.5% by mass. The lubricant must be compatible with the insulation under the given heat treatment conditions of the material.</w:t>
      </w:r>
      <w:r w:rsidR="000073B4" w:rsidRPr="00E62F8B">
        <w:rPr>
          <w:rFonts w:eastAsia="Times"/>
          <w:color w:val="000000"/>
          <w:sz w:val="20"/>
          <w:szCs w:val="20"/>
          <w:lang w:val="sk-SK" w:eastAsia="sk-SK"/>
        </w:rPr>
        <w:t xml:space="preserve"> </w:t>
      </w:r>
      <w:r w:rsidRPr="00E62F8B">
        <w:rPr>
          <w:rFonts w:eastAsia="Times"/>
          <w:color w:val="000000"/>
          <w:sz w:val="20"/>
          <w:szCs w:val="20"/>
          <w:lang w:val="sk-SK" w:eastAsia="sk-SK"/>
        </w:rPr>
        <w:t xml:space="preserve">For instance, the developed material </w:t>
      </w:r>
      <w:r w:rsidRPr="00426C40">
        <w:rPr>
          <w:rFonts w:eastAsia="Times"/>
          <w:color w:val="000000"/>
          <w:sz w:val="20"/>
          <w:szCs w:val="20"/>
          <w:lang w:val="sk-SK" w:eastAsia="sk-SK"/>
        </w:rPr>
        <w:t>Somaloy TM 500</w:t>
      </w:r>
      <w:r w:rsidRPr="00E62F8B">
        <w:rPr>
          <w:rFonts w:eastAsia="Times"/>
          <w:color w:val="000000"/>
          <w:sz w:val="20"/>
          <w:szCs w:val="20"/>
          <w:lang w:val="sk-SK" w:eastAsia="sk-SK"/>
        </w:rPr>
        <w:t xml:space="preserve"> combined with the </w:t>
      </w:r>
      <w:r w:rsidRPr="00426C40">
        <w:rPr>
          <w:rFonts w:eastAsia="Times"/>
          <w:color w:val="000000"/>
          <w:sz w:val="20"/>
          <w:szCs w:val="20"/>
          <w:lang w:val="sk-SK" w:eastAsia="sk-SK"/>
        </w:rPr>
        <w:t>Kenolube</w:t>
      </w:r>
      <w:r w:rsidRPr="00E62F8B">
        <w:rPr>
          <w:rFonts w:eastAsia="Times"/>
          <w:color w:val="000000"/>
          <w:sz w:val="20"/>
          <w:szCs w:val="20"/>
          <w:lang w:val="sk-SK" w:eastAsia="sk-SK"/>
        </w:rPr>
        <w:t xml:space="preserve"> lubricant (0.5%) [3, 5, 6] is recommended for products operating in alternating electromagnetic fields.</w:t>
      </w:r>
    </w:p>
    <w:p w14:paraId="3626803C" w14:textId="77777777" w:rsidR="008522A5" w:rsidRPr="007E1142" w:rsidRDefault="008D61D9" w:rsidP="007E1142">
      <w:pPr>
        <w:pStyle w:val="ae"/>
        <w:spacing w:before="120" w:beforeAutospacing="0" w:after="0" w:afterAutospacing="0"/>
        <w:jc w:val="center"/>
        <w:rPr>
          <w:rFonts w:eastAsia="Times"/>
          <w:color w:val="000000"/>
          <w:sz w:val="18"/>
          <w:szCs w:val="18"/>
          <w:lang w:val="sk-SK" w:eastAsia="sk-SK"/>
        </w:rPr>
      </w:pPr>
      <w:r w:rsidRPr="007E1142">
        <w:rPr>
          <w:rFonts w:eastAsia="Times"/>
          <w:b/>
          <w:color w:val="000000"/>
          <w:sz w:val="18"/>
          <w:szCs w:val="18"/>
          <w:lang w:val="sk-SK" w:eastAsia="sk-SK"/>
        </w:rPr>
        <w:t>TABLE 1.</w:t>
      </w:r>
      <w:r w:rsidR="008522A5" w:rsidRPr="007E1142">
        <w:rPr>
          <w:rFonts w:eastAsia="Times"/>
          <w:b/>
          <w:color w:val="000000"/>
          <w:sz w:val="18"/>
          <w:szCs w:val="18"/>
          <w:lang w:val="sk-SK" w:eastAsia="sk-SK"/>
        </w:rPr>
        <w:t xml:space="preserve"> </w:t>
      </w:r>
      <w:r w:rsidR="008522A5" w:rsidRPr="007E1142">
        <w:rPr>
          <w:rFonts w:eastAsia="Times"/>
          <w:color w:val="000000"/>
          <w:sz w:val="18"/>
          <w:szCs w:val="18"/>
          <w:lang w:val="sk-SK" w:eastAsia="sk-SK"/>
        </w:rPr>
        <w:t>Comparative Data on the Magnetic Properties of Modern Soft Magnetic Powder Materials</w:t>
      </w:r>
    </w:p>
    <w:tbl>
      <w:tblPr>
        <w:tblStyle w:val="a7"/>
        <w:tblW w:w="9642" w:type="dxa"/>
        <w:tblBorders>
          <w:left w:val="none" w:sz="0" w:space="0" w:color="auto"/>
        </w:tblBorders>
        <w:tblLayout w:type="fixed"/>
        <w:tblLook w:val="04A0" w:firstRow="1" w:lastRow="0" w:firstColumn="1" w:lastColumn="0" w:noHBand="0" w:noVBand="1"/>
      </w:tblPr>
      <w:tblGrid>
        <w:gridCol w:w="2943"/>
        <w:gridCol w:w="1276"/>
        <w:gridCol w:w="1418"/>
        <w:gridCol w:w="1559"/>
        <w:gridCol w:w="1009"/>
        <w:gridCol w:w="1437"/>
      </w:tblGrid>
      <w:tr w:rsidR="003F46E0" w:rsidRPr="007E1142" w14:paraId="64EF9BA0" w14:textId="77777777" w:rsidTr="003E4C86">
        <w:tc>
          <w:tcPr>
            <w:tcW w:w="2943" w:type="dxa"/>
            <w:vMerge w:val="restart"/>
            <w:tcBorders>
              <w:top w:val="single" w:sz="12" w:space="0" w:color="auto"/>
              <w:bottom w:val="nil"/>
              <w:right w:val="nil"/>
            </w:tcBorders>
            <w:vAlign w:val="center"/>
            <w:hideMark/>
          </w:tcPr>
          <w:p w14:paraId="2124D1E6" w14:textId="3B0CB800" w:rsidR="00D438E2" w:rsidRPr="007E1142" w:rsidRDefault="00527A9E" w:rsidP="007E1142">
            <w:pPr>
              <w:jc w:val="both"/>
              <w:rPr>
                <w:rFonts w:eastAsia="Times"/>
                <w:sz w:val="18"/>
                <w:szCs w:val="18"/>
              </w:rPr>
            </w:pPr>
            <w:proofErr w:type="spellStart"/>
            <w:r w:rsidRPr="007E1142">
              <w:rPr>
                <w:rFonts w:eastAsia="Times"/>
                <w:sz w:val="18"/>
                <w:szCs w:val="18"/>
              </w:rPr>
              <w:t>Material</w:t>
            </w:r>
            <w:proofErr w:type="spellEnd"/>
          </w:p>
        </w:tc>
        <w:tc>
          <w:tcPr>
            <w:tcW w:w="1276" w:type="dxa"/>
            <w:vMerge w:val="restart"/>
            <w:tcBorders>
              <w:top w:val="single" w:sz="12" w:space="0" w:color="auto"/>
              <w:left w:val="nil"/>
              <w:bottom w:val="nil"/>
              <w:right w:val="nil"/>
            </w:tcBorders>
            <w:vAlign w:val="center"/>
            <w:hideMark/>
          </w:tcPr>
          <w:p w14:paraId="1C9522AC" w14:textId="516F58CB" w:rsidR="00D438E2" w:rsidRPr="007E1142" w:rsidRDefault="00527A9E" w:rsidP="007E1142">
            <w:pPr>
              <w:jc w:val="both"/>
              <w:rPr>
                <w:rFonts w:eastAsia="Times"/>
                <w:sz w:val="18"/>
                <w:szCs w:val="18"/>
              </w:rPr>
            </w:pPr>
            <w:r w:rsidRPr="007E1142">
              <w:rPr>
                <w:rFonts w:eastAsia="Times"/>
                <w:sz w:val="18"/>
                <w:szCs w:val="18"/>
              </w:rPr>
              <w:t xml:space="preserve">Country </w:t>
            </w:r>
            <w:proofErr w:type="spellStart"/>
            <w:r w:rsidRPr="007E1142">
              <w:rPr>
                <w:rFonts w:eastAsia="Times"/>
                <w:sz w:val="18"/>
                <w:szCs w:val="18"/>
              </w:rPr>
              <w:t>of</w:t>
            </w:r>
            <w:proofErr w:type="spellEnd"/>
            <w:r w:rsidRPr="007E1142">
              <w:rPr>
                <w:rFonts w:eastAsia="Times"/>
                <w:sz w:val="18"/>
                <w:szCs w:val="18"/>
              </w:rPr>
              <w:t xml:space="preserve"> </w:t>
            </w:r>
            <w:proofErr w:type="spellStart"/>
            <w:r w:rsidRPr="007E1142">
              <w:rPr>
                <w:rFonts w:eastAsia="Times"/>
                <w:sz w:val="18"/>
                <w:szCs w:val="18"/>
              </w:rPr>
              <w:t>Manufacturer</w:t>
            </w:r>
            <w:proofErr w:type="spellEnd"/>
          </w:p>
        </w:tc>
        <w:tc>
          <w:tcPr>
            <w:tcW w:w="1418" w:type="dxa"/>
            <w:vMerge w:val="restart"/>
            <w:tcBorders>
              <w:top w:val="single" w:sz="12" w:space="0" w:color="auto"/>
              <w:left w:val="nil"/>
              <w:bottom w:val="nil"/>
              <w:right w:val="nil"/>
            </w:tcBorders>
            <w:vAlign w:val="center"/>
            <w:hideMark/>
          </w:tcPr>
          <w:p w14:paraId="1AA90FA2" w14:textId="17BB777D" w:rsidR="00D438E2" w:rsidRPr="007E1142" w:rsidRDefault="00527A9E" w:rsidP="007E1142">
            <w:pPr>
              <w:jc w:val="both"/>
              <w:rPr>
                <w:rFonts w:eastAsia="Times"/>
                <w:sz w:val="18"/>
                <w:szCs w:val="18"/>
              </w:rPr>
            </w:pPr>
            <w:proofErr w:type="spellStart"/>
            <w:r w:rsidRPr="007E1142">
              <w:rPr>
                <w:rFonts w:eastAsia="Times"/>
                <w:sz w:val="18"/>
                <w:szCs w:val="18"/>
              </w:rPr>
              <w:t>Density</w:t>
            </w:r>
            <w:proofErr w:type="spellEnd"/>
            <w:r w:rsidRPr="007E1142">
              <w:rPr>
                <w:rFonts w:eastAsia="Times"/>
                <w:sz w:val="18"/>
                <w:szCs w:val="18"/>
              </w:rPr>
              <w:br/>
              <w:t>ρ, g/cm³</w:t>
            </w:r>
          </w:p>
        </w:tc>
        <w:tc>
          <w:tcPr>
            <w:tcW w:w="4005" w:type="dxa"/>
            <w:gridSpan w:val="3"/>
            <w:tcBorders>
              <w:top w:val="single" w:sz="12" w:space="0" w:color="auto"/>
              <w:left w:val="nil"/>
              <w:bottom w:val="nil"/>
              <w:right w:val="nil"/>
            </w:tcBorders>
            <w:vAlign w:val="center"/>
            <w:hideMark/>
          </w:tcPr>
          <w:p w14:paraId="62C9708C" w14:textId="1C20EDE4" w:rsidR="00D438E2" w:rsidRPr="007E1142" w:rsidRDefault="00527A9E" w:rsidP="007E1142">
            <w:pPr>
              <w:jc w:val="both"/>
              <w:rPr>
                <w:rFonts w:eastAsia="Times"/>
                <w:sz w:val="18"/>
                <w:szCs w:val="18"/>
              </w:rPr>
            </w:pPr>
            <w:proofErr w:type="spellStart"/>
            <w:r w:rsidRPr="007E1142">
              <w:rPr>
                <w:rFonts w:eastAsia="Times"/>
                <w:sz w:val="18"/>
                <w:szCs w:val="18"/>
              </w:rPr>
              <w:t>Alternating</w:t>
            </w:r>
            <w:proofErr w:type="spellEnd"/>
            <w:r w:rsidRPr="007E1142">
              <w:rPr>
                <w:rFonts w:eastAsia="Times"/>
                <w:sz w:val="18"/>
                <w:szCs w:val="18"/>
              </w:rPr>
              <w:t xml:space="preserve"> Field</w:t>
            </w:r>
          </w:p>
        </w:tc>
      </w:tr>
      <w:tr w:rsidR="003E4C86" w:rsidRPr="007E1142" w14:paraId="6EE9EF22" w14:textId="77777777" w:rsidTr="003E4C86">
        <w:tc>
          <w:tcPr>
            <w:tcW w:w="2943" w:type="dxa"/>
            <w:vMerge/>
            <w:tcBorders>
              <w:bottom w:val="nil"/>
              <w:right w:val="nil"/>
            </w:tcBorders>
            <w:vAlign w:val="center"/>
            <w:hideMark/>
          </w:tcPr>
          <w:p w14:paraId="57323120" w14:textId="77777777" w:rsidR="00D438E2" w:rsidRPr="007E1142" w:rsidRDefault="00D438E2" w:rsidP="007E1142">
            <w:pPr>
              <w:jc w:val="both"/>
              <w:rPr>
                <w:rFonts w:eastAsia="Times"/>
                <w:sz w:val="18"/>
                <w:szCs w:val="18"/>
              </w:rPr>
            </w:pPr>
          </w:p>
        </w:tc>
        <w:tc>
          <w:tcPr>
            <w:tcW w:w="1276" w:type="dxa"/>
            <w:vMerge/>
            <w:tcBorders>
              <w:left w:val="nil"/>
              <w:bottom w:val="nil"/>
              <w:right w:val="nil"/>
            </w:tcBorders>
            <w:vAlign w:val="center"/>
            <w:hideMark/>
          </w:tcPr>
          <w:p w14:paraId="3B9376F6" w14:textId="77777777" w:rsidR="00D438E2" w:rsidRPr="007E1142" w:rsidRDefault="00D438E2" w:rsidP="007E1142">
            <w:pPr>
              <w:jc w:val="both"/>
              <w:rPr>
                <w:rFonts w:eastAsia="Times"/>
                <w:sz w:val="18"/>
                <w:szCs w:val="18"/>
              </w:rPr>
            </w:pPr>
          </w:p>
        </w:tc>
        <w:tc>
          <w:tcPr>
            <w:tcW w:w="1418" w:type="dxa"/>
            <w:vMerge/>
            <w:tcBorders>
              <w:left w:val="nil"/>
              <w:bottom w:val="nil"/>
              <w:right w:val="nil"/>
            </w:tcBorders>
            <w:vAlign w:val="center"/>
            <w:hideMark/>
          </w:tcPr>
          <w:p w14:paraId="23478925" w14:textId="77777777" w:rsidR="00D438E2" w:rsidRPr="007E1142" w:rsidRDefault="00D438E2" w:rsidP="007E1142">
            <w:pPr>
              <w:jc w:val="both"/>
              <w:rPr>
                <w:rFonts w:eastAsia="Times"/>
                <w:sz w:val="18"/>
                <w:szCs w:val="18"/>
              </w:rPr>
            </w:pPr>
          </w:p>
        </w:tc>
        <w:tc>
          <w:tcPr>
            <w:tcW w:w="1559" w:type="dxa"/>
            <w:tcBorders>
              <w:top w:val="nil"/>
              <w:left w:val="nil"/>
              <w:bottom w:val="nil"/>
              <w:right w:val="nil"/>
            </w:tcBorders>
            <w:vAlign w:val="center"/>
            <w:hideMark/>
          </w:tcPr>
          <w:p w14:paraId="0A6518C0" w14:textId="5EA34522" w:rsidR="00D438E2" w:rsidRPr="007E1142" w:rsidRDefault="00D438E2" w:rsidP="007E1142">
            <w:pPr>
              <w:jc w:val="both"/>
              <w:rPr>
                <w:rFonts w:eastAsia="Times"/>
                <w:sz w:val="18"/>
                <w:szCs w:val="18"/>
              </w:rPr>
            </w:pPr>
            <w:r w:rsidRPr="007E1142">
              <w:rPr>
                <w:rFonts w:eastAsia="Times"/>
                <w:sz w:val="18"/>
                <w:szCs w:val="18"/>
              </w:rPr>
              <w:t xml:space="preserve">В, </w:t>
            </w:r>
            <w:r w:rsidR="00386390" w:rsidRPr="007E1142">
              <w:rPr>
                <w:rFonts w:eastAsia="Times"/>
                <w:sz w:val="18"/>
                <w:szCs w:val="18"/>
              </w:rPr>
              <w:t>T</w:t>
            </w:r>
          </w:p>
        </w:tc>
        <w:tc>
          <w:tcPr>
            <w:tcW w:w="1009" w:type="dxa"/>
            <w:tcBorders>
              <w:top w:val="nil"/>
              <w:left w:val="nil"/>
              <w:bottom w:val="nil"/>
              <w:right w:val="nil"/>
            </w:tcBorders>
            <w:vAlign w:val="center"/>
            <w:hideMark/>
          </w:tcPr>
          <w:p w14:paraId="63733C17" w14:textId="77777777" w:rsidR="00D438E2" w:rsidRPr="007E1142" w:rsidRDefault="00D438E2" w:rsidP="007E1142">
            <w:pPr>
              <w:jc w:val="both"/>
              <w:rPr>
                <w:rFonts w:eastAsia="Times"/>
                <w:sz w:val="18"/>
                <w:szCs w:val="18"/>
              </w:rPr>
            </w:pPr>
            <w:r w:rsidRPr="007E1142">
              <w:rPr>
                <w:rFonts w:eastAsia="Times"/>
                <w:sz w:val="18"/>
                <w:szCs w:val="18"/>
              </w:rPr>
              <w:t>μmax</w:t>
            </w:r>
          </w:p>
        </w:tc>
        <w:tc>
          <w:tcPr>
            <w:tcW w:w="1437" w:type="dxa"/>
            <w:tcBorders>
              <w:top w:val="nil"/>
              <w:left w:val="nil"/>
              <w:bottom w:val="nil"/>
              <w:right w:val="nil"/>
            </w:tcBorders>
            <w:vAlign w:val="center"/>
            <w:hideMark/>
          </w:tcPr>
          <w:p w14:paraId="09034BB8" w14:textId="77777777" w:rsidR="00527A9E" w:rsidRPr="007E1142" w:rsidRDefault="00527A9E" w:rsidP="007E1142">
            <w:pPr>
              <w:jc w:val="both"/>
              <w:rPr>
                <w:rFonts w:eastAsia="Times"/>
                <w:sz w:val="18"/>
                <w:szCs w:val="18"/>
              </w:rPr>
            </w:pPr>
            <w:proofErr w:type="spellStart"/>
            <w:r w:rsidRPr="007E1142">
              <w:rPr>
                <w:rFonts w:eastAsia="Times"/>
                <w:sz w:val="18"/>
                <w:szCs w:val="18"/>
              </w:rPr>
              <w:t>Losses</w:t>
            </w:r>
            <w:proofErr w:type="spellEnd"/>
          </w:p>
          <w:p w14:paraId="48C5FF8F" w14:textId="2BE4F121" w:rsidR="00D438E2" w:rsidRPr="007E1142" w:rsidRDefault="00D438E2" w:rsidP="007E1142">
            <w:pPr>
              <w:jc w:val="both"/>
              <w:rPr>
                <w:rFonts w:eastAsia="Times"/>
                <w:sz w:val="18"/>
                <w:szCs w:val="18"/>
              </w:rPr>
            </w:pPr>
            <w:r w:rsidRPr="007E1142">
              <w:rPr>
                <w:rFonts w:eastAsia="Times"/>
                <w:sz w:val="18"/>
                <w:szCs w:val="18"/>
              </w:rPr>
              <w:t>Р1,0/50</w:t>
            </w:r>
          </w:p>
        </w:tc>
      </w:tr>
      <w:tr w:rsidR="003E4C86" w:rsidRPr="007E1142" w14:paraId="516B3D47" w14:textId="77777777" w:rsidTr="003E4C86">
        <w:tc>
          <w:tcPr>
            <w:tcW w:w="2943" w:type="dxa"/>
            <w:tcBorders>
              <w:top w:val="nil"/>
              <w:bottom w:val="nil"/>
              <w:right w:val="nil"/>
            </w:tcBorders>
            <w:vAlign w:val="center"/>
            <w:hideMark/>
          </w:tcPr>
          <w:p w14:paraId="1F87D18E" w14:textId="47CD5093" w:rsidR="00D438E2" w:rsidRPr="007E1142" w:rsidRDefault="00527A9E" w:rsidP="007E1142">
            <w:pPr>
              <w:jc w:val="both"/>
              <w:rPr>
                <w:rFonts w:eastAsia="Times"/>
                <w:sz w:val="18"/>
                <w:szCs w:val="18"/>
              </w:rPr>
            </w:pPr>
            <w:r w:rsidRPr="007E1142">
              <w:rPr>
                <w:rFonts w:eastAsia="Times"/>
                <w:sz w:val="18"/>
                <w:szCs w:val="18"/>
              </w:rPr>
              <w:t xml:space="preserve">Pure Iron </w:t>
            </w:r>
            <w:r w:rsidR="00D438E2" w:rsidRPr="007E1142">
              <w:rPr>
                <w:rFonts w:eastAsia="Times"/>
                <w:sz w:val="18"/>
                <w:szCs w:val="18"/>
              </w:rPr>
              <w:t>ЕU-10</w:t>
            </w:r>
          </w:p>
        </w:tc>
        <w:tc>
          <w:tcPr>
            <w:tcW w:w="1276" w:type="dxa"/>
            <w:vMerge w:val="restart"/>
            <w:tcBorders>
              <w:top w:val="nil"/>
              <w:left w:val="nil"/>
              <w:bottom w:val="nil"/>
              <w:right w:val="nil"/>
            </w:tcBorders>
            <w:vAlign w:val="center"/>
            <w:hideMark/>
          </w:tcPr>
          <w:p w14:paraId="387F0522" w14:textId="7177A85C" w:rsidR="00D438E2" w:rsidRPr="007E1142" w:rsidRDefault="00527A9E" w:rsidP="007E1142">
            <w:pPr>
              <w:jc w:val="both"/>
              <w:rPr>
                <w:rFonts w:eastAsia="Times"/>
                <w:sz w:val="18"/>
                <w:szCs w:val="18"/>
              </w:rPr>
            </w:pPr>
            <w:r w:rsidRPr="007E1142">
              <w:rPr>
                <w:rFonts w:eastAsia="Times"/>
                <w:sz w:val="18"/>
                <w:szCs w:val="18"/>
              </w:rPr>
              <w:t>Japan</w:t>
            </w:r>
          </w:p>
        </w:tc>
        <w:tc>
          <w:tcPr>
            <w:tcW w:w="1418" w:type="dxa"/>
            <w:tcBorders>
              <w:top w:val="nil"/>
              <w:left w:val="nil"/>
              <w:bottom w:val="nil"/>
              <w:right w:val="nil"/>
            </w:tcBorders>
            <w:vAlign w:val="center"/>
            <w:hideMark/>
          </w:tcPr>
          <w:p w14:paraId="7BF4CD4D" w14:textId="77777777" w:rsidR="00D438E2" w:rsidRPr="007E1142" w:rsidRDefault="00D438E2" w:rsidP="007E1142">
            <w:pPr>
              <w:jc w:val="both"/>
              <w:rPr>
                <w:rFonts w:eastAsia="Times"/>
                <w:sz w:val="18"/>
                <w:szCs w:val="18"/>
              </w:rPr>
            </w:pPr>
            <w:r w:rsidRPr="007E1142">
              <w:rPr>
                <w:rFonts w:eastAsia="Times"/>
                <w:sz w:val="18"/>
                <w:szCs w:val="18"/>
              </w:rPr>
              <w:t>7,4</w:t>
            </w:r>
          </w:p>
        </w:tc>
        <w:tc>
          <w:tcPr>
            <w:tcW w:w="1559" w:type="dxa"/>
            <w:tcBorders>
              <w:top w:val="nil"/>
              <w:left w:val="nil"/>
              <w:bottom w:val="nil"/>
              <w:right w:val="nil"/>
            </w:tcBorders>
            <w:vAlign w:val="center"/>
            <w:hideMark/>
          </w:tcPr>
          <w:p w14:paraId="79750F03" w14:textId="77777777" w:rsidR="00D438E2" w:rsidRPr="007E1142" w:rsidRDefault="00D438E2" w:rsidP="007E1142">
            <w:pPr>
              <w:jc w:val="both"/>
              <w:rPr>
                <w:rFonts w:eastAsia="Times"/>
                <w:sz w:val="18"/>
                <w:szCs w:val="18"/>
              </w:rPr>
            </w:pPr>
            <w:r w:rsidRPr="007E1142">
              <w:rPr>
                <w:rFonts w:eastAsia="Times"/>
                <w:sz w:val="18"/>
                <w:szCs w:val="18"/>
              </w:rPr>
              <w:t>B2000 = 1,4</w:t>
            </w:r>
          </w:p>
        </w:tc>
        <w:tc>
          <w:tcPr>
            <w:tcW w:w="1009" w:type="dxa"/>
            <w:tcBorders>
              <w:top w:val="nil"/>
              <w:left w:val="nil"/>
              <w:bottom w:val="nil"/>
              <w:right w:val="nil"/>
            </w:tcBorders>
            <w:vAlign w:val="center"/>
            <w:hideMark/>
          </w:tcPr>
          <w:p w14:paraId="1ACDD2AA" w14:textId="77777777" w:rsidR="00D438E2" w:rsidRPr="007E1142" w:rsidRDefault="00D438E2" w:rsidP="007E1142">
            <w:pPr>
              <w:jc w:val="both"/>
              <w:rPr>
                <w:rFonts w:eastAsia="Times"/>
                <w:sz w:val="18"/>
                <w:szCs w:val="18"/>
              </w:rPr>
            </w:pPr>
            <w:r w:rsidRPr="007E1142">
              <w:rPr>
                <w:rFonts w:eastAsia="Times"/>
                <w:sz w:val="18"/>
                <w:szCs w:val="18"/>
              </w:rPr>
              <w:t>4500</w:t>
            </w:r>
          </w:p>
        </w:tc>
        <w:tc>
          <w:tcPr>
            <w:tcW w:w="1437" w:type="dxa"/>
            <w:tcBorders>
              <w:top w:val="nil"/>
              <w:left w:val="nil"/>
              <w:bottom w:val="nil"/>
              <w:right w:val="nil"/>
            </w:tcBorders>
            <w:vAlign w:val="center"/>
            <w:hideMark/>
          </w:tcPr>
          <w:p w14:paraId="65177EE0" w14:textId="77777777" w:rsidR="00D438E2" w:rsidRPr="007E1142" w:rsidRDefault="00D438E2" w:rsidP="007E1142">
            <w:pPr>
              <w:jc w:val="both"/>
              <w:rPr>
                <w:rFonts w:eastAsia="Times"/>
                <w:sz w:val="18"/>
                <w:szCs w:val="18"/>
              </w:rPr>
            </w:pPr>
            <w:r w:rsidRPr="007E1142">
              <w:rPr>
                <w:rFonts w:eastAsia="Times"/>
                <w:sz w:val="18"/>
                <w:szCs w:val="18"/>
              </w:rPr>
              <w:t>30</w:t>
            </w:r>
          </w:p>
        </w:tc>
      </w:tr>
      <w:tr w:rsidR="003E4C86" w:rsidRPr="007E1142" w14:paraId="3B46F08A" w14:textId="77777777" w:rsidTr="003E4C86">
        <w:tc>
          <w:tcPr>
            <w:tcW w:w="2943" w:type="dxa"/>
            <w:tcBorders>
              <w:top w:val="nil"/>
              <w:bottom w:val="nil"/>
              <w:right w:val="nil"/>
            </w:tcBorders>
            <w:vAlign w:val="center"/>
            <w:hideMark/>
          </w:tcPr>
          <w:p w14:paraId="1A1AA7D5" w14:textId="3DB641EF" w:rsidR="00D438E2" w:rsidRPr="007E1142" w:rsidRDefault="00527A9E" w:rsidP="007E1142">
            <w:pPr>
              <w:jc w:val="both"/>
              <w:rPr>
                <w:rFonts w:eastAsia="Times"/>
                <w:sz w:val="18"/>
                <w:szCs w:val="18"/>
                <w:lang w:val="en-US"/>
              </w:rPr>
            </w:pPr>
            <w:r w:rsidRPr="007E1142">
              <w:rPr>
                <w:rFonts w:eastAsia="Times"/>
                <w:sz w:val="18"/>
                <w:szCs w:val="18"/>
                <w:lang w:val="en-US"/>
              </w:rPr>
              <w:t>Iron Powder + Resin</w:t>
            </w:r>
            <w:r w:rsidR="00D438E2" w:rsidRPr="007E1142">
              <w:rPr>
                <w:rFonts w:eastAsia="Times"/>
                <w:sz w:val="18"/>
                <w:szCs w:val="18"/>
                <w:lang w:val="en-US"/>
              </w:rPr>
              <w:t xml:space="preserve"> </w:t>
            </w:r>
            <w:r w:rsidR="00D438E2" w:rsidRPr="007E1142">
              <w:rPr>
                <w:rFonts w:eastAsia="Times"/>
                <w:sz w:val="18"/>
                <w:szCs w:val="18"/>
              </w:rPr>
              <w:t>Е</w:t>
            </w:r>
            <w:r w:rsidR="00D438E2" w:rsidRPr="007E1142">
              <w:rPr>
                <w:rFonts w:eastAsia="Times"/>
                <w:sz w:val="18"/>
                <w:szCs w:val="18"/>
                <w:lang w:val="en-US"/>
              </w:rPr>
              <w:t>U-62</w:t>
            </w:r>
            <w:r w:rsidR="00D438E2" w:rsidRPr="007E1142">
              <w:rPr>
                <w:rFonts w:eastAsia="Times"/>
                <w:sz w:val="18"/>
                <w:szCs w:val="18"/>
              </w:rPr>
              <w:t>Х</w:t>
            </w:r>
          </w:p>
        </w:tc>
        <w:tc>
          <w:tcPr>
            <w:tcW w:w="1276" w:type="dxa"/>
            <w:vMerge/>
            <w:tcBorders>
              <w:top w:val="nil"/>
              <w:left w:val="nil"/>
              <w:bottom w:val="nil"/>
              <w:right w:val="nil"/>
            </w:tcBorders>
            <w:vAlign w:val="center"/>
            <w:hideMark/>
          </w:tcPr>
          <w:p w14:paraId="0BA56475" w14:textId="77777777" w:rsidR="00D438E2" w:rsidRPr="007E1142" w:rsidRDefault="00D438E2" w:rsidP="007E1142">
            <w:pPr>
              <w:jc w:val="both"/>
              <w:rPr>
                <w:rFonts w:eastAsia="Times"/>
                <w:sz w:val="18"/>
                <w:szCs w:val="18"/>
                <w:lang w:val="en-US"/>
              </w:rPr>
            </w:pPr>
          </w:p>
        </w:tc>
        <w:tc>
          <w:tcPr>
            <w:tcW w:w="1418" w:type="dxa"/>
            <w:tcBorders>
              <w:top w:val="nil"/>
              <w:left w:val="nil"/>
              <w:bottom w:val="nil"/>
              <w:right w:val="nil"/>
            </w:tcBorders>
            <w:vAlign w:val="center"/>
            <w:hideMark/>
          </w:tcPr>
          <w:p w14:paraId="630B9A51" w14:textId="77777777" w:rsidR="00D438E2" w:rsidRPr="007E1142" w:rsidRDefault="00D438E2" w:rsidP="007E1142">
            <w:pPr>
              <w:jc w:val="both"/>
              <w:rPr>
                <w:rFonts w:eastAsia="Times"/>
                <w:sz w:val="18"/>
                <w:szCs w:val="18"/>
              </w:rPr>
            </w:pPr>
            <w:r w:rsidRPr="007E1142">
              <w:rPr>
                <w:rFonts w:eastAsia="Times"/>
                <w:sz w:val="18"/>
                <w:szCs w:val="18"/>
              </w:rPr>
              <w:t>7,0</w:t>
            </w:r>
          </w:p>
        </w:tc>
        <w:tc>
          <w:tcPr>
            <w:tcW w:w="1559" w:type="dxa"/>
            <w:tcBorders>
              <w:top w:val="nil"/>
              <w:left w:val="nil"/>
              <w:bottom w:val="nil"/>
              <w:right w:val="nil"/>
            </w:tcBorders>
            <w:vAlign w:val="center"/>
            <w:hideMark/>
          </w:tcPr>
          <w:p w14:paraId="4F2C1002" w14:textId="0F10CA1A" w:rsidR="00D438E2" w:rsidRPr="007E1142" w:rsidRDefault="00D438E2" w:rsidP="007E1142">
            <w:pPr>
              <w:jc w:val="both"/>
              <w:rPr>
                <w:rFonts w:eastAsia="Times"/>
                <w:sz w:val="18"/>
                <w:szCs w:val="18"/>
              </w:rPr>
            </w:pPr>
            <w:r w:rsidRPr="007E1142">
              <w:rPr>
                <w:rFonts w:eastAsia="Times"/>
                <w:sz w:val="18"/>
                <w:szCs w:val="18"/>
              </w:rPr>
              <w:t xml:space="preserve">B2000= </w:t>
            </w:r>
            <w:r w:rsidR="000D32FD" w:rsidRPr="007E1142">
              <w:rPr>
                <w:rFonts w:eastAsia="Times"/>
                <w:sz w:val="18"/>
                <w:szCs w:val="18"/>
              </w:rPr>
              <w:t>0</w:t>
            </w:r>
            <w:r w:rsidRPr="007E1142">
              <w:rPr>
                <w:rFonts w:eastAsia="Times"/>
                <w:sz w:val="18"/>
                <w:szCs w:val="18"/>
              </w:rPr>
              <w:t>,15</w:t>
            </w:r>
          </w:p>
        </w:tc>
        <w:tc>
          <w:tcPr>
            <w:tcW w:w="1009" w:type="dxa"/>
            <w:tcBorders>
              <w:top w:val="nil"/>
              <w:left w:val="nil"/>
              <w:bottom w:val="nil"/>
              <w:right w:val="nil"/>
            </w:tcBorders>
            <w:vAlign w:val="center"/>
            <w:hideMark/>
          </w:tcPr>
          <w:p w14:paraId="686EFCDB" w14:textId="77777777" w:rsidR="00D438E2" w:rsidRPr="007E1142" w:rsidRDefault="00D438E2" w:rsidP="007E1142">
            <w:pPr>
              <w:jc w:val="both"/>
              <w:rPr>
                <w:rFonts w:eastAsia="Times"/>
                <w:sz w:val="18"/>
                <w:szCs w:val="18"/>
              </w:rPr>
            </w:pPr>
            <w:r w:rsidRPr="007E1142">
              <w:rPr>
                <w:rFonts w:eastAsia="Times"/>
                <w:sz w:val="18"/>
                <w:szCs w:val="18"/>
              </w:rPr>
              <w:t>200</w:t>
            </w:r>
          </w:p>
        </w:tc>
        <w:tc>
          <w:tcPr>
            <w:tcW w:w="1437" w:type="dxa"/>
            <w:tcBorders>
              <w:top w:val="nil"/>
              <w:left w:val="nil"/>
              <w:bottom w:val="nil"/>
              <w:right w:val="nil"/>
            </w:tcBorders>
            <w:vAlign w:val="center"/>
            <w:hideMark/>
          </w:tcPr>
          <w:p w14:paraId="04E75F7D" w14:textId="77777777" w:rsidR="00D438E2" w:rsidRPr="007E1142" w:rsidRDefault="00D438E2" w:rsidP="007E1142">
            <w:pPr>
              <w:jc w:val="both"/>
              <w:rPr>
                <w:rFonts w:eastAsia="Times"/>
                <w:sz w:val="18"/>
                <w:szCs w:val="18"/>
              </w:rPr>
            </w:pPr>
            <w:r w:rsidRPr="007E1142">
              <w:rPr>
                <w:rFonts w:eastAsia="Times"/>
                <w:sz w:val="18"/>
                <w:szCs w:val="18"/>
              </w:rPr>
              <w:t>7</w:t>
            </w:r>
          </w:p>
        </w:tc>
      </w:tr>
      <w:tr w:rsidR="003F46E0" w:rsidRPr="007E1142" w14:paraId="20CCE96A" w14:textId="77777777" w:rsidTr="003E4C86">
        <w:tc>
          <w:tcPr>
            <w:tcW w:w="2943" w:type="dxa"/>
            <w:tcBorders>
              <w:top w:val="nil"/>
              <w:bottom w:val="nil"/>
              <w:right w:val="nil"/>
            </w:tcBorders>
            <w:vAlign w:val="center"/>
            <w:hideMark/>
          </w:tcPr>
          <w:p w14:paraId="2B86A577" w14:textId="46BAABC3" w:rsidR="00D438E2" w:rsidRPr="007E1142" w:rsidRDefault="00527A9E" w:rsidP="007E1142">
            <w:pPr>
              <w:jc w:val="both"/>
              <w:rPr>
                <w:rFonts w:eastAsia="Times"/>
                <w:sz w:val="18"/>
                <w:szCs w:val="18"/>
              </w:rPr>
            </w:pPr>
            <w:r w:rsidRPr="007E1142">
              <w:rPr>
                <w:rFonts w:eastAsia="Times"/>
                <w:sz w:val="18"/>
                <w:szCs w:val="18"/>
              </w:rPr>
              <w:t xml:space="preserve">Fe, </w:t>
            </w:r>
            <w:proofErr w:type="spellStart"/>
            <w:r w:rsidRPr="007E1142">
              <w:rPr>
                <w:rFonts w:eastAsia="Times"/>
                <w:sz w:val="18"/>
                <w:szCs w:val="18"/>
              </w:rPr>
              <w:t>Coating</w:t>
            </w:r>
            <w:proofErr w:type="spellEnd"/>
            <w:r w:rsidRPr="007E1142">
              <w:rPr>
                <w:rFonts w:eastAsia="Times"/>
                <w:sz w:val="18"/>
                <w:szCs w:val="18"/>
              </w:rPr>
              <w:t xml:space="preserve"> Ni-P</w:t>
            </w:r>
          </w:p>
        </w:tc>
        <w:tc>
          <w:tcPr>
            <w:tcW w:w="1276" w:type="dxa"/>
            <w:vMerge w:val="restart"/>
            <w:tcBorders>
              <w:top w:val="nil"/>
              <w:left w:val="nil"/>
              <w:bottom w:val="nil"/>
              <w:right w:val="nil"/>
            </w:tcBorders>
            <w:vAlign w:val="center"/>
            <w:hideMark/>
          </w:tcPr>
          <w:p w14:paraId="67869D12" w14:textId="0451ABBD" w:rsidR="00D438E2" w:rsidRPr="007E1142" w:rsidRDefault="00527A9E" w:rsidP="007E1142">
            <w:pPr>
              <w:jc w:val="both"/>
              <w:rPr>
                <w:rFonts w:eastAsia="Times"/>
                <w:sz w:val="18"/>
                <w:szCs w:val="18"/>
              </w:rPr>
            </w:pPr>
            <w:r w:rsidRPr="007E1142">
              <w:rPr>
                <w:rFonts w:eastAsia="Times"/>
                <w:sz w:val="18"/>
                <w:szCs w:val="18"/>
              </w:rPr>
              <w:t>USA</w:t>
            </w:r>
          </w:p>
        </w:tc>
        <w:tc>
          <w:tcPr>
            <w:tcW w:w="1418" w:type="dxa"/>
            <w:tcBorders>
              <w:top w:val="nil"/>
              <w:left w:val="nil"/>
              <w:bottom w:val="nil"/>
              <w:right w:val="nil"/>
            </w:tcBorders>
            <w:vAlign w:val="center"/>
            <w:hideMark/>
          </w:tcPr>
          <w:p w14:paraId="3244A963" w14:textId="77777777" w:rsidR="00D438E2" w:rsidRPr="007E1142" w:rsidRDefault="00D438E2" w:rsidP="007E1142">
            <w:pPr>
              <w:jc w:val="both"/>
              <w:rPr>
                <w:rFonts w:eastAsia="Times"/>
                <w:sz w:val="18"/>
                <w:szCs w:val="18"/>
              </w:rPr>
            </w:pPr>
            <w:r w:rsidRPr="007E1142">
              <w:rPr>
                <w:rFonts w:eastAsia="Times"/>
                <w:sz w:val="18"/>
                <w:szCs w:val="18"/>
              </w:rPr>
              <w:t>7,35</w:t>
            </w:r>
          </w:p>
        </w:tc>
        <w:tc>
          <w:tcPr>
            <w:tcW w:w="1559" w:type="dxa"/>
            <w:tcBorders>
              <w:top w:val="nil"/>
              <w:left w:val="nil"/>
              <w:bottom w:val="nil"/>
              <w:right w:val="nil"/>
            </w:tcBorders>
            <w:vAlign w:val="center"/>
            <w:hideMark/>
          </w:tcPr>
          <w:p w14:paraId="0F22F962" w14:textId="77777777" w:rsidR="00D438E2" w:rsidRPr="007E1142" w:rsidRDefault="00D438E2" w:rsidP="007E1142">
            <w:pPr>
              <w:jc w:val="both"/>
              <w:rPr>
                <w:rFonts w:eastAsia="Times"/>
                <w:sz w:val="18"/>
                <w:szCs w:val="18"/>
              </w:rPr>
            </w:pPr>
            <w:r w:rsidRPr="007E1142">
              <w:rPr>
                <w:rFonts w:eastAsia="Times"/>
                <w:sz w:val="18"/>
                <w:szCs w:val="18"/>
              </w:rPr>
              <w:t>B =1,7</w:t>
            </w:r>
          </w:p>
        </w:tc>
        <w:tc>
          <w:tcPr>
            <w:tcW w:w="1009" w:type="dxa"/>
            <w:tcBorders>
              <w:top w:val="nil"/>
              <w:left w:val="nil"/>
              <w:bottom w:val="nil"/>
              <w:right w:val="nil"/>
            </w:tcBorders>
            <w:vAlign w:val="center"/>
            <w:hideMark/>
          </w:tcPr>
          <w:p w14:paraId="4BC5E3D7" w14:textId="77777777" w:rsidR="00D438E2" w:rsidRPr="007E1142" w:rsidRDefault="00D438E2" w:rsidP="007E1142">
            <w:pPr>
              <w:jc w:val="both"/>
              <w:rPr>
                <w:rFonts w:eastAsia="Times"/>
                <w:sz w:val="18"/>
                <w:szCs w:val="18"/>
              </w:rPr>
            </w:pPr>
            <w:r w:rsidRPr="007E1142">
              <w:rPr>
                <w:rFonts w:eastAsia="Times"/>
                <w:sz w:val="18"/>
                <w:szCs w:val="18"/>
              </w:rPr>
              <w:t>–</w:t>
            </w:r>
          </w:p>
        </w:tc>
        <w:tc>
          <w:tcPr>
            <w:tcW w:w="1437" w:type="dxa"/>
            <w:tcBorders>
              <w:top w:val="nil"/>
              <w:left w:val="nil"/>
              <w:bottom w:val="nil"/>
              <w:right w:val="nil"/>
            </w:tcBorders>
            <w:vAlign w:val="center"/>
            <w:hideMark/>
          </w:tcPr>
          <w:p w14:paraId="01C294A3" w14:textId="77777777" w:rsidR="00D438E2" w:rsidRPr="007E1142" w:rsidRDefault="00D438E2" w:rsidP="007E1142">
            <w:pPr>
              <w:jc w:val="both"/>
              <w:rPr>
                <w:rFonts w:eastAsia="Times"/>
                <w:sz w:val="18"/>
                <w:szCs w:val="18"/>
              </w:rPr>
            </w:pPr>
            <w:r w:rsidRPr="007E1142">
              <w:rPr>
                <w:rFonts w:eastAsia="Times"/>
                <w:sz w:val="18"/>
                <w:szCs w:val="18"/>
              </w:rPr>
              <w:t>-</w:t>
            </w:r>
          </w:p>
        </w:tc>
      </w:tr>
      <w:tr w:rsidR="003F46E0" w:rsidRPr="007E1142" w14:paraId="48F030BA" w14:textId="77777777" w:rsidTr="003E4C86">
        <w:tc>
          <w:tcPr>
            <w:tcW w:w="2943" w:type="dxa"/>
            <w:tcBorders>
              <w:top w:val="nil"/>
              <w:bottom w:val="nil"/>
              <w:right w:val="nil"/>
            </w:tcBorders>
            <w:vAlign w:val="center"/>
            <w:hideMark/>
          </w:tcPr>
          <w:p w14:paraId="702343D3" w14:textId="77777777" w:rsidR="00D438E2" w:rsidRPr="007E1142" w:rsidRDefault="00D438E2" w:rsidP="007E1142">
            <w:pPr>
              <w:jc w:val="both"/>
              <w:rPr>
                <w:rFonts w:eastAsia="Times"/>
                <w:sz w:val="18"/>
                <w:szCs w:val="18"/>
              </w:rPr>
            </w:pPr>
            <w:r w:rsidRPr="007E1142">
              <w:rPr>
                <w:rFonts w:eastAsia="Times"/>
                <w:sz w:val="18"/>
                <w:szCs w:val="18"/>
              </w:rPr>
              <w:t>Somaloy 500 + Kenolube</w:t>
            </w:r>
          </w:p>
        </w:tc>
        <w:tc>
          <w:tcPr>
            <w:tcW w:w="1276" w:type="dxa"/>
            <w:vMerge/>
            <w:tcBorders>
              <w:top w:val="nil"/>
              <w:left w:val="nil"/>
              <w:bottom w:val="nil"/>
              <w:right w:val="nil"/>
            </w:tcBorders>
            <w:vAlign w:val="center"/>
            <w:hideMark/>
          </w:tcPr>
          <w:p w14:paraId="13EDEEF7" w14:textId="77777777" w:rsidR="00D438E2" w:rsidRPr="007E1142" w:rsidRDefault="00D438E2" w:rsidP="007E1142">
            <w:pPr>
              <w:jc w:val="both"/>
              <w:rPr>
                <w:rFonts w:eastAsia="Times"/>
                <w:sz w:val="18"/>
                <w:szCs w:val="18"/>
              </w:rPr>
            </w:pPr>
          </w:p>
        </w:tc>
        <w:tc>
          <w:tcPr>
            <w:tcW w:w="1418" w:type="dxa"/>
            <w:tcBorders>
              <w:top w:val="nil"/>
              <w:left w:val="nil"/>
              <w:bottom w:val="nil"/>
              <w:right w:val="nil"/>
            </w:tcBorders>
            <w:vAlign w:val="center"/>
            <w:hideMark/>
          </w:tcPr>
          <w:p w14:paraId="29F53034" w14:textId="77777777" w:rsidR="00D438E2" w:rsidRPr="007E1142" w:rsidRDefault="00D438E2" w:rsidP="007E1142">
            <w:pPr>
              <w:jc w:val="both"/>
              <w:rPr>
                <w:rFonts w:eastAsia="Times"/>
                <w:sz w:val="18"/>
                <w:szCs w:val="18"/>
              </w:rPr>
            </w:pPr>
            <w:r w:rsidRPr="007E1142">
              <w:rPr>
                <w:rFonts w:eastAsia="Times"/>
                <w:sz w:val="18"/>
                <w:szCs w:val="18"/>
              </w:rPr>
              <w:t>7,37</w:t>
            </w:r>
          </w:p>
        </w:tc>
        <w:tc>
          <w:tcPr>
            <w:tcW w:w="1559" w:type="dxa"/>
            <w:tcBorders>
              <w:top w:val="nil"/>
              <w:left w:val="nil"/>
              <w:bottom w:val="nil"/>
              <w:right w:val="nil"/>
            </w:tcBorders>
            <w:vAlign w:val="center"/>
            <w:hideMark/>
          </w:tcPr>
          <w:p w14:paraId="3E4716C1" w14:textId="77777777" w:rsidR="00D438E2" w:rsidRPr="007E1142" w:rsidRDefault="00D438E2" w:rsidP="007E1142">
            <w:pPr>
              <w:jc w:val="both"/>
              <w:rPr>
                <w:rFonts w:eastAsia="Times"/>
                <w:sz w:val="18"/>
                <w:szCs w:val="18"/>
              </w:rPr>
            </w:pPr>
            <w:r w:rsidRPr="007E1142">
              <w:rPr>
                <w:rFonts w:eastAsia="Times"/>
                <w:sz w:val="18"/>
                <w:szCs w:val="18"/>
              </w:rPr>
              <w:t>B2500 = 1,15</w:t>
            </w:r>
          </w:p>
        </w:tc>
        <w:tc>
          <w:tcPr>
            <w:tcW w:w="1009" w:type="dxa"/>
            <w:tcBorders>
              <w:top w:val="nil"/>
              <w:left w:val="nil"/>
              <w:bottom w:val="nil"/>
              <w:right w:val="nil"/>
            </w:tcBorders>
            <w:vAlign w:val="center"/>
            <w:hideMark/>
          </w:tcPr>
          <w:p w14:paraId="4840B81D" w14:textId="77777777" w:rsidR="00D438E2" w:rsidRPr="007E1142" w:rsidRDefault="00D438E2" w:rsidP="007E1142">
            <w:pPr>
              <w:jc w:val="both"/>
              <w:rPr>
                <w:rFonts w:eastAsia="Times"/>
                <w:sz w:val="18"/>
                <w:szCs w:val="18"/>
              </w:rPr>
            </w:pPr>
            <w:r w:rsidRPr="007E1142">
              <w:rPr>
                <w:rFonts w:eastAsia="Times"/>
                <w:sz w:val="18"/>
                <w:szCs w:val="18"/>
              </w:rPr>
              <w:t>581</w:t>
            </w:r>
          </w:p>
        </w:tc>
        <w:tc>
          <w:tcPr>
            <w:tcW w:w="1437" w:type="dxa"/>
            <w:tcBorders>
              <w:top w:val="nil"/>
              <w:left w:val="nil"/>
              <w:bottom w:val="nil"/>
              <w:right w:val="nil"/>
            </w:tcBorders>
            <w:vAlign w:val="center"/>
            <w:hideMark/>
          </w:tcPr>
          <w:p w14:paraId="75E40DBE" w14:textId="77777777" w:rsidR="00D438E2" w:rsidRPr="007E1142" w:rsidRDefault="00D438E2" w:rsidP="007E1142">
            <w:pPr>
              <w:jc w:val="both"/>
              <w:rPr>
                <w:rFonts w:eastAsia="Times"/>
                <w:sz w:val="18"/>
                <w:szCs w:val="18"/>
              </w:rPr>
            </w:pPr>
            <w:r w:rsidRPr="007E1142">
              <w:rPr>
                <w:rFonts w:eastAsia="Times"/>
                <w:sz w:val="18"/>
                <w:szCs w:val="18"/>
              </w:rPr>
              <w:t>29 (Р1,5/50)</w:t>
            </w:r>
          </w:p>
        </w:tc>
      </w:tr>
      <w:tr w:rsidR="003F46E0" w:rsidRPr="007E1142" w14:paraId="7D4BC00E" w14:textId="77777777" w:rsidTr="003E4C86">
        <w:tc>
          <w:tcPr>
            <w:tcW w:w="2943" w:type="dxa"/>
            <w:tcBorders>
              <w:top w:val="nil"/>
              <w:bottom w:val="nil"/>
              <w:right w:val="nil"/>
            </w:tcBorders>
            <w:vAlign w:val="center"/>
            <w:hideMark/>
          </w:tcPr>
          <w:p w14:paraId="418A2F67" w14:textId="6300AAEA" w:rsidR="00D438E2" w:rsidRPr="007E1142" w:rsidRDefault="00D438E2" w:rsidP="007E1142">
            <w:pPr>
              <w:jc w:val="both"/>
              <w:rPr>
                <w:rFonts w:eastAsia="Times"/>
                <w:sz w:val="18"/>
                <w:szCs w:val="18"/>
                <w:lang w:val="en-US"/>
              </w:rPr>
            </w:pPr>
            <w:r w:rsidRPr="007E1142">
              <w:rPr>
                <w:rFonts w:eastAsia="Times"/>
                <w:sz w:val="18"/>
                <w:szCs w:val="18"/>
                <w:lang w:val="en-US"/>
              </w:rPr>
              <w:t xml:space="preserve">Fe 0,8% P, </w:t>
            </w:r>
            <w:r w:rsidRPr="007E1142">
              <w:rPr>
                <w:rFonts w:eastAsia="Times"/>
                <w:sz w:val="18"/>
                <w:szCs w:val="18"/>
              </w:rPr>
              <w:t>Т</w:t>
            </w:r>
            <w:r w:rsidR="000D32FD" w:rsidRPr="007E1142">
              <w:rPr>
                <w:rFonts w:eastAsia="Times"/>
                <w:sz w:val="18"/>
                <w:szCs w:val="18"/>
                <w:lang w:val="en-US"/>
              </w:rPr>
              <w:t>,</w:t>
            </w:r>
            <w:r w:rsidRPr="007E1142">
              <w:rPr>
                <w:rFonts w:eastAsia="Times"/>
                <w:sz w:val="18"/>
                <w:szCs w:val="18"/>
                <w:lang w:val="en-US"/>
              </w:rPr>
              <w:t xml:space="preserve"> </w:t>
            </w:r>
            <w:r w:rsidR="00527A9E" w:rsidRPr="007E1142">
              <w:rPr>
                <w:rFonts w:eastAsia="Times"/>
                <w:sz w:val="18"/>
                <w:szCs w:val="18"/>
                <w:lang w:val="en-US"/>
              </w:rPr>
              <w:t>Sintering</w:t>
            </w:r>
            <w:r w:rsidRPr="007E1142">
              <w:rPr>
                <w:rFonts w:eastAsia="Times"/>
                <w:sz w:val="18"/>
                <w:szCs w:val="18"/>
                <w:lang w:val="en-US"/>
              </w:rPr>
              <w:t xml:space="preserve"> 1500°, 24 </w:t>
            </w:r>
            <w:r w:rsidRPr="007E1142">
              <w:rPr>
                <w:rFonts w:eastAsia="Times"/>
                <w:sz w:val="18"/>
                <w:szCs w:val="18"/>
              </w:rPr>
              <w:t>часа</w:t>
            </w:r>
          </w:p>
        </w:tc>
        <w:tc>
          <w:tcPr>
            <w:tcW w:w="1276" w:type="dxa"/>
            <w:tcBorders>
              <w:top w:val="nil"/>
              <w:left w:val="nil"/>
              <w:bottom w:val="nil"/>
              <w:right w:val="nil"/>
            </w:tcBorders>
            <w:vAlign w:val="center"/>
            <w:hideMark/>
          </w:tcPr>
          <w:p w14:paraId="6D496878" w14:textId="141B7C8F" w:rsidR="00D438E2" w:rsidRPr="007E1142" w:rsidRDefault="00527A9E" w:rsidP="007E1142">
            <w:pPr>
              <w:jc w:val="both"/>
              <w:rPr>
                <w:rFonts w:eastAsia="Times"/>
                <w:sz w:val="18"/>
                <w:szCs w:val="18"/>
              </w:rPr>
            </w:pPr>
            <w:proofErr w:type="spellStart"/>
            <w:r w:rsidRPr="007E1142">
              <w:rPr>
                <w:rFonts w:eastAsia="Times"/>
                <w:sz w:val="18"/>
                <w:szCs w:val="18"/>
              </w:rPr>
              <w:t>Poland</w:t>
            </w:r>
            <w:proofErr w:type="spellEnd"/>
          </w:p>
        </w:tc>
        <w:tc>
          <w:tcPr>
            <w:tcW w:w="1418" w:type="dxa"/>
            <w:tcBorders>
              <w:top w:val="nil"/>
              <w:left w:val="nil"/>
              <w:bottom w:val="nil"/>
              <w:right w:val="nil"/>
            </w:tcBorders>
            <w:vAlign w:val="center"/>
            <w:hideMark/>
          </w:tcPr>
          <w:p w14:paraId="3439AC92" w14:textId="77777777" w:rsidR="00D438E2" w:rsidRPr="007E1142" w:rsidRDefault="00D438E2" w:rsidP="007E1142">
            <w:pPr>
              <w:jc w:val="both"/>
              <w:rPr>
                <w:rFonts w:eastAsia="Times"/>
                <w:sz w:val="18"/>
                <w:szCs w:val="18"/>
              </w:rPr>
            </w:pPr>
            <w:r w:rsidRPr="007E1142">
              <w:rPr>
                <w:rFonts w:eastAsia="Times"/>
                <w:sz w:val="18"/>
                <w:szCs w:val="18"/>
              </w:rPr>
              <w:t>7,8</w:t>
            </w:r>
          </w:p>
        </w:tc>
        <w:tc>
          <w:tcPr>
            <w:tcW w:w="1559" w:type="dxa"/>
            <w:tcBorders>
              <w:top w:val="nil"/>
              <w:left w:val="nil"/>
              <w:bottom w:val="nil"/>
              <w:right w:val="nil"/>
            </w:tcBorders>
            <w:vAlign w:val="center"/>
            <w:hideMark/>
          </w:tcPr>
          <w:p w14:paraId="239E22F3" w14:textId="77777777" w:rsidR="00D438E2" w:rsidRPr="007E1142" w:rsidRDefault="00D438E2" w:rsidP="007E1142">
            <w:pPr>
              <w:jc w:val="both"/>
              <w:rPr>
                <w:rFonts w:eastAsia="Times"/>
                <w:sz w:val="18"/>
                <w:szCs w:val="18"/>
              </w:rPr>
            </w:pPr>
            <w:r w:rsidRPr="007E1142">
              <w:rPr>
                <w:rFonts w:eastAsia="Times"/>
                <w:sz w:val="18"/>
                <w:szCs w:val="18"/>
              </w:rPr>
              <w:t>B2500 = 1,62</w:t>
            </w:r>
          </w:p>
        </w:tc>
        <w:tc>
          <w:tcPr>
            <w:tcW w:w="1009" w:type="dxa"/>
            <w:tcBorders>
              <w:top w:val="nil"/>
              <w:left w:val="nil"/>
              <w:bottom w:val="nil"/>
              <w:right w:val="nil"/>
            </w:tcBorders>
            <w:vAlign w:val="center"/>
            <w:hideMark/>
          </w:tcPr>
          <w:p w14:paraId="04AF89D1" w14:textId="77777777" w:rsidR="00D438E2" w:rsidRPr="007E1142" w:rsidRDefault="00D438E2" w:rsidP="007E1142">
            <w:pPr>
              <w:jc w:val="both"/>
              <w:rPr>
                <w:rFonts w:eastAsia="Times"/>
                <w:sz w:val="18"/>
                <w:szCs w:val="18"/>
              </w:rPr>
            </w:pPr>
            <w:r w:rsidRPr="007E1142">
              <w:rPr>
                <w:rFonts w:eastAsia="Times"/>
                <w:sz w:val="18"/>
                <w:szCs w:val="18"/>
              </w:rPr>
              <w:t>14400</w:t>
            </w:r>
          </w:p>
        </w:tc>
        <w:tc>
          <w:tcPr>
            <w:tcW w:w="1437" w:type="dxa"/>
            <w:tcBorders>
              <w:top w:val="nil"/>
              <w:left w:val="nil"/>
              <w:bottom w:val="nil"/>
              <w:right w:val="nil"/>
            </w:tcBorders>
            <w:vAlign w:val="center"/>
            <w:hideMark/>
          </w:tcPr>
          <w:p w14:paraId="5D46B99E" w14:textId="77777777" w:rsidR="00D438E2" w:rsidRPr="007E1142" w:rsidRDefault="00D438E2" w:rsidP="007E1142">
            <w:pPr>
              <w:jc w:val="both"/>
              <w:rPr>
                <w:rFonts w:eastAsia="Times"/>
                <w:sz w:val="18"/>
                <w:szCs w:val="18"/>
              </w:rPr>
            </w:pPr>
            <w:r w:rsidRPr="007E1142">
              <w:rPr>
                <w:rFonts w:eastAsia="Times"/>
                <w:sz w:val="18"/>
                <w:szCs w:val="18"/>
              </w:rPr>
              <w:t>20,6</w:t>
            </w:r>
          </w:p>
        </w:tc>
      </w:tr>
      <w:tr w:rsidR="003E4C86" w:rsidRPr="007E1142" w14:paraId="20433E66" w14:textId="77777777" w:rsidTr="003E4C86">
        <w:tc>
          <w:tcPr>
            <w:tcW w:w="2943" w:type="dxa"/>
            <w:tcBorders>
              <w:top w:val="nil"/>
              <w:bottom w:val="nil"/>
              <w:right w:val="nil"/>
            </w:tcBorders>
            <w:vAlign w:val="center"/>
            <w:hideMark/>
          </w:tcPr>
          <w:p w14:paraId="5E13DB3C" w14:textId="77777777" w:rsidR="00D438E2" w:rsidRPr="007E1142" w:rsidRDefault="00D438E2" w:rsidP="007E1142">
            <w:pPr>
              <w:jc w:val="both"/>
              <w:rPr>
                <w:rFonts w:eastAsia="Times"/>
                <w:sz w:val="18"/>
                <w:szCs w:val="18"/>
              </w:rPr>
            </w:pPr>
            <w:r w:rsidRPr="007E1142">
              <w:rPr>
                <w:rFonts w:eastAsia="Times"/>
                <w:sz w:val="18"/>
                <w:szCs w:val="18"/>
              </w:rPr>
              <w:t>Atomet EM-1(2) (Fe + resin)</w:t>
            </w:r>
          </w:p>
        </w:tc>
        <w:tc>
          <w:tcPr>
            <w:tcW w:w="1276" w:type="dxa"/>
            <w:tcBorders>
              <w:top w:val="nil"/>
              <w:left w:val="nil"/>
              <w:bottom w:val="nil"/>
              <w:right w:val="nil"/>
            </w:tcBorders>
            <w:vAlign w:val="center"/>
            <w:hideMark/>
          </w:tcPr>
          <w:p w14:paraId="3ACE7A45" w14:textId="6531AFE8" w:rsidR="00D438E2" w:rsidRPr="007E1142" w:rsidRDefault="00527A9E" w:rsidP="007E1142">
            <w:pPr>
              <w:jc w:val="both"/>
              <w:rPr>
                <w:rFonts w:eastAsia="Times"/>
                <w:sz w:val="18"/>
                <w:szCs w:val="18"/>
              </w:rPr>
            </w:pPr>
            <w:r w:rsidRPr="007E1142">
              <w:rPr>
                <w:rFonts w:eastAsia="Times"/>
                <w:sz w:val="18"/>
                <w:szCs w:val="18"/>
              </w:rPr>
              <w:t>Canada</w:t>
            </w:r>
          </w:p>
        </w:tc>
        <w:tc>
          <w:tcPr>
            <w:tcW w:w="1418" w:type="dxa"/>
            <w:tcBorders>
              <w:top w:val="nil"/>
              <w:left w:val="nil"/>
              <w:bottom w:val="nil"/>
              <w:right w:val="nil"/>
            </w:tcBorders>
            <w:vAlign w:val="center"/>
            <w:hideMark/>
          </w:tcPr>
          <w:p w14:paraId="1E356B01" w14:textId="77777777" w:rsidR="00D438E2" w:rsidRPr="007E1142" w:rsidRDefault="00D438E2" w:rsidP="007E1142">
            <w:pPr>
              <w:jc w:val="both"/>
              <w:rPr>
                <w:rFonts w:eastAsia="Times"/>
                <w:sz w:val="18"/>
                <w:szCs w:val="18"/>
              </w:rPr>
            </w:pPr>
            <w:r w:rsidRPr="007E1142">
              <w:rPr>
                <w:rFonts w:eastAsia="Times"/>
                <w:sz w:val="18"/>
                <w:szCs w:val="18"/>
              </w:rPr>
              <w:t>7,2</w:t>
            </w:r>
          </w:p>
        </w:tc>
        <w:tc>
          <w:tcPr>
            <w:tcW w:w="1559" w:type="dxa"/>
            <w:tcBorders>
              <w:top w:val="nil"/>
              <w:left w:val="nil"/>
              <w:bottom w:val="nil"/>
              <w:right w:val="nil"/>
            </w:tcBorders>
            <w:vAlign w:val="center"/>
            <w:hideMark/>
          </w:tcPr>
          <w:p w14:paraId="0256D936" w14:textId="77777777" w:rsidR="00D438E2" w:rsidRPr="007E1142" w:rsidRDefault="00D438E2" w:rsidP="007E1142">
            <w:pPr>
              <w:jc w:val="both"/>
              <w:rPr>
                <w:rFonts w:eastAsia="Times"/>
                <w:sz w:val="18"/>
                <w:szCs w:val="18"/>
              </w:rPr>
            </w:pPr>
            <w:r w:rsidRPr="007E1142">
              <w:rPr>
                <w:rFonts w:eastAsia="Times"/>
                <w:sz w:val="18"/>
                <w:szCs w:val="18"/>
              </w:rPr>
              <w:t>B2500 = 1,4</w:t>
            </w:r>
          </w:p>
        </w:tc>
        <w:tc>
          <w:tcPr>
            <w:tcW w:w="1009" w:type="dxa"/>
            <w:tcBorders>
              <w:top w:val="nil"/>
              <w:left w:val="nil"/>
              <w:bottom w:val="nil"/>
              <w:right w:val="nil"/>
            </w:tcBorders>
            <w:vAlign w:val="center"/>
            <w:hideMark/>
          </w:tcPr>
          <w:p w14:paraId="58D7A9E8" w14:textId="77777777" w:rsidR="00D438E2" w:rsidRPr="007E1142" w:rsidRDefault="00D438E2" w:rsidP="007E1142">
            <w:pPr>
              <w:jc w:val="both"/>
              <w:rPr>
                <w:rFonts w:eastAsia="Times"/>
                <w:sz w:val="18"/>
                <w:szCs w:val="18"/>
              </w:rPr>
            </w:pPr>
            <w:r w:rsidRPr="007E1142">
              <w:rPr>
                <w:rFonts w:eastAsia="Times"/>
                <w:sz w:val="18"/>
                <w:szCs w:val="18"/>
              </w:rPr>
              <w:t>–</w:t>
            </w:r>
          </w:p>
        </w:tc>
        <w:tc>
          <w:tcPr>
            <w:tcW w:w="1437" w:type="dxa"/>
            <w:tcBorders>
              <w:top w:val="nil"/>
              <w:left w:val="nil"/>
              <w:bottom w:val="nil"/>
              <w:right w:val="nil"/>
            </w:tcBorders>
            <w:vAlign w:val="center"/>
            <w:hideMark/>
          </w:tcPr>
          <w:p w14:paraId="649E1973" w14:textId="77777777" w:rsidR="00D438E2" w:rsidRPr="007E1142" w:rsidRDefault="00D438E2" w:rsidP="007E1142">
            <w:pPr>
              <w:jc w:val="both"/>
              <w:rPr>
                <w:rFonts w:eastAsia="Times"/>
                <w:sz w:val="18"/>
                <w:szCs w:val="18"/>
              </w:rPr>
            </w:pPr>
            <w:r w:rsidRPr="007E1142">
              <w:rPr>
                <w:rFonts w:eastAsia="Times"/>
                <w:sz w:val="18"/>
                <w:szCs w:val="18"/>
              </w:rPr>
              <w:t>10-12</w:t>
            </w:r>
          </w:p>
        </w:tc>
      </w:tr>
      <w:tr w:rsidR="003E4C86" w:rsidRPr="007E1142" w14:paraId="3EC3C211" w14:textId="77777777" w:rsidTr="003E4C86">
        <w:tc>
          <w:tcPr>
            <w:tcW w:w="2943" w:type="dxa"/>
            <w:tcBorders>
              <w:top w:val="nil"/>
              <w:bottom w:val="nil"/>
              <w:right w:val="nil"/>
            </w:tcBorders>
            <w:vAlign w:val="center"/>
            <w:hideMark/>
          </w:tcPr>
          <w:p w14:paraId="4EBD9EED" w14:textId="0B1C6E50" w:rsidR="00D438E2" w:rsidRPr="007E1142" w:rsidRDefault="00386390" w:rsidP="007E1142">
            <w:pPr>
              <w:jc w:val="both"/>
              <w:rPr>
                <w:rFonts w:eastAsia="Times"/>
                <w:sz w:val="18"/>
                <w:szCs w:val="18"/>
              </w:rPr>
            </w:pPr>
            <w:r w:rsidRPr="007E1142">
              <w:rPr>
                <w:rFonts w:eastAsia="Times"/>
                <w:sz w:val="18"/>
                <w:szCs w:val="18"/>
              </w:rPr>
              <w:t>PJRV</w:t>
            </w:r>
            <w:r w:rsidR="00D438E2" w:rsidRPr="007E1142">
              <w:rPr>
                <w:rFonts w:eastAsia="Times"/>
                <w:sz w:val="18"/>
                <w:szCs w:val="18"/>
              </w:rPr>
              <w:t xml:space="preserve">+ 0,5% </w:t>
            </w:r>
            <w:proofErr w:type="spellStart"/>
            <w:r w:rsidR="00527A9E" w:rsidRPr="007E1142">
              <w:rPr>
                <w:rFonts w:eastAsia="Times"/>
                <w:sz w:val="18"/>
                <w:szCs w:val="18"/>
              </w:rPr>
              <w:t>Epoxy</w:t>
            </w:r>
            <w:proofErr w:type="spellEnd"/>
            <w:r w:rsidR="00527A9E" w:rsidRPr="007E1142">
              <w:rPr>
                <w:rFonts w:eastAsia="Times"/>
                <w:sz w:val="18"/>
                <w:szCs w:val="18"/>
              </w:rPr>
              <w:t xml:space="preserve"> </w:t>
            </w:r>
            <w:proofErr w:type="spellStart"/>
            <w:r w:rsidR="00527A9E" w:rsidRPr="007E1142">
              <w:rPr>
                <w:rFonts w:eastAsia="Times"/>
                <w:sz w:val="18"/>
                <w:szCs w:val="18"/>
              </w:rPr>
              <w:t>Resin</w:t>
            </w:r>
            <w:proofErr w:type="spellEnd"/>
          </w:p>
        </w:tc>
        <w:tc>
          <w:tcPr>
            <w:tcW w:w="1276" w:type="dxa"/>
            <w:vMerge w:val="restart"/>
            <w:tcBorders>
              <w:top w:val="nil"/>
              <w:left w:val="nil"/>
              <w:bottom w:val="single" w:sz="12" w:space="0" w:color="auto"/>
              <w:right w:val="nil"/>
            </w:tcBorders>
            <w:vAlign w:val="center"/>
            <w:hideMark/>
          </w:tcPr>
          <w:p w14:paraId="5B86DC10" w14:textId="457EBDFF" w:rsidR="00D438E2" w:rsidRPr="007E1142" w:rsidRDefault="00527A9E" w:rsidP="007E1142">
            <w:pPr>
              <w:jc w:val="both"/>
              <w:rPr>
                <w:rFonts w:eastAsia="Times"/>
                <w:sz w:val="18"/>
                <w:szCs w:val="18"/>
              </w:rPr>
            </w:pPr>
            <w:r w:rsidRPr="007E1142">
              <w:rPr>
                <w:rFonts w:eastAsia="Times"/>
                <w:sz w:val="18"/>
                <w:szCs w:val="18"/>
              </w:rPr>
              <w:t>Ukraine</w:t>
            </w:r>
          </w:p>
        </w:tc>
        <w:tc>
          <w:tcPr>
            <w:tcW w:w="1418" w:type="dxa"/>
            <w:tcBorders>
              <w:top w:val="nil"/>
              <w:left w:val="nil"/>
              <w:bottom w:val="nil"/>
              <w:right w:val="nil"/>
            </w:tcBorders>
            <w:vAlign w:val="center"/>
            <w:hideMark/>
          </w:tcPr>
          <w:p w14:paraId="5FB53637" w14:textId="77777777" w:rsidR="00D438E2" w:rsidRPr="007E1142" w:rsidRDefault="00D438E2" w:rsidP="007E1142">
            <w:pPr>
              <w:jc w:val="both"/>
              <w:rPr>
                <w:rFonts w:eastAsia="Times"/>
                <w:sz w:val="18"/>
                <w:szCs w:val="18"/>
              </w:rPr>
            </w:pPr>
            <w:r w:rsidRPr="007E1142">
              <w:rPr>
                <w:rFonts w:eastAsia="Times"/>
                <w:sz w:val="18"/>
                <w:szCs w:val="18"/>
              </w:rPr>
              <w:t>6,9</w:t>
            </w:r>
          </w:p>
        </w:tc>
        <w:tc>
          <w:tcPr>
            <w:tcW w:w="1559" w:type="dxa"/>
            <w:tcBorders>
              <w:top w:val="nil"/>
              <w:left w:val="nil"/>
              <w:bottom w:val="nil"/>
              <w:right w:val="nil"/>
            </w:tcBorders>
            <w:vAlign w:val="center"/>
            <w:hideMark/>
          </w:tcPr>
          <w:p w14:paraId="45EDC51B" w14:textId="77777777" w:rsidR="00D438E2" w:rsidRPr="007E1142" w:rsidRDefault="00D438E2" w:rsidP="007E1142">
            <w:pPr>
              <w:jc w:val="both"/>
              <w:rPr>
                <w:rFonts w:eastAsia="Times"/>
                <w:sz w:val="18"/>
                <w:szCs w:val="18"/>
              </w:rPr>
            </w:pPr>
            <w:r w:rsidRPr="007E1142">
              <w:rPr>
                <w:rFonts w:eastAsia="Times"/>
                <w:sz w:val="18"/>
                <w:szCs w:val="18"/>
              </w:rPr>
              <w:t>B2500 = 1,1</w:t>
            </w:r>
          </w:p>
        </w:tc>
        <w:tc>
          <w:tcPr>
            <w:tcW w:w="1009" w:type="dxa"/>
            <w:tcBorders>
              <w:top w:val="nil"/>
              <w:left w:val="nil"/>
              <w:bottom w:val="nil"/>
              <w:right w:val="nil"/>
            </w:tcBorders>
            <w:vAlign w:val="center"/>
            <w:hideMark/>
          </w:tcPr>
          <w:p w14:paraId="4DAF7094" w14:textId="77777777" w:rsidR="00D438E2" w:rsidRPr="007E1142" w:rsidRDefault="00D438E2" w:rsidP="007E1142">
            <w:pPr>
              <w:jc w:val="both"/>
              <w:rPr>
                <w:rFonts w:eastAsia="Times"/>
                <w:sz w:val="18"/>
                <w:szCs w:val="18"/>
              </w:rPr>
            </w:pPr>
            <w:r w:rsidRPr="007E1142">
              <w:rPr>
                <w:rFonts w:eastAsia="Times"/>
                <w:sz w:val="18"/>
                <w:szCs w:val="18"/>
              </w:rPr>
              <w:t>393</w:t>
            </w:r>
          </w:p>
        </w:tc>
        <w:tc>
          <w:tcPr>
            <w:tcW w:w="1437" w:type="dxa"/>
            <w:tcBorders>
              <w:top w:val="nil"/>
              <w:left w:val="nil"/>
              <w:bottom w:val="nil"/>
              <w:right w:val="nil"/>
            </w:tcBorders>
            <w:vAlign w:val="center"/>
            <w:hideMark/>
          </w:tcPr>
          <w:p w14:paraId="5E7EBA73" w14:textId="77777777" w:rsidR="00D438E2" w:rsidRPr="007E1142" w:rsidRDefault="00D438E2" w:rsidP="007E1142">
            <w:pPr>
              <w:jc w:val="both"/>
              <w:rPr>
                <w:rFonts w:eastAsia="Times"/>
                <w:sz w:val="18"/>
                <w:szCs w:val="18"/>
              </w:rPr>
            </w:pPr>
            <w:r w:rsidRPr="007E1142">
              <w:rPr>
                <w:rFonts w:eastAsia="Times"/>
                <w:sz w:val="18"/>
                <w:szCs w:val="18"/>
              </w:rPr>
              <w:t>9,1</w:t>
            </w:r>
          </w:p>
        </w:tc>
      </w:tr>
      <w:tr w:rsidR="003F46E0" w:rsidRPr="007E1142" w14:paraId="0B95CFF7" w14:textId="77777777" w:rsidTr="003E4C86">
        <w:tc>
          <w:tcPr>
            <w:tcW w:w="2943" w:type="dxa"/>
            <w:tcBorders>
              <w:top w:val="nil"/>
              <w:bottom w:val="single" w:sz="12" w:space="0" w:color="auto"/>
              <w:right w:val="nil"/>
            </w:tcBorders>
            <w:vAlign w:val="center"/>
            <w:hideMark/>
          </w:tcPr>
          <w:p w14:paraId="76F8DC6A" w14:textId="66A4E396" w:rsidR="00D438E2" w:rsidRPr="007E1142" w:rsidRDefault="00386390" w:rsidP="007E1142">
            <w:pPr>
              <w:jc w:val="both"/>
              <w:rPr>
                <w:rFonts w:eastAsia="Times"/>
                <w:sz w:val="18"/>
                <w:szCs w:val="18"/>
              </w:rPr>
            </w:pPr>
            <w:r w:rsidRPr="007E1142">
              <w:rPr>
                <w:rFonts w:eastAsia="Times"/>
                <w:sz w:val="18"/>
                <w:szCs w:val="18"/>
              </w:rPr>
              <w:t>PJRV</w:t>
            </w:r>
            <w:r w:rsidR="00D438E2" w:rsidRPr="007E1142">
              <w:rPr>
                <w:rFonts w:eastAsia="Times"/>
                <w:sz w:val="18"/>
                <w:szCs w:val="18"/>
              </w:rPr>
              <w:t xml:space="preserve"> </w:t>
            </w:r>
            <w:proofErr w:type="spellStart"/>
            <w:r w:rsidR="00527A9E" w:rsidRPr="007E1142">
              <w:rPr>
                <w:rFonts w:eastAsia="Times"/>
                <w:sz w:val="18"/>
                <w:szCs w:val="18"/>
              </w:rPr>
              <w:t>with</w:t>
            </w:r>
            <w:proofErr w:type="spellEnd"/>
            <w:r w:rsidR="00527A9E" w:rsidRPr="007E1142">
              <w:rPr>
                <w:rFonts w:eastAsia="Times"/>
                <w:sz w:val="18"/>
                <w:szCs w:val="18"/>
              </w:rPr>
              <w:t xml:space="preserve"> </w:t>
            </w:r>
            <w:proofErr w:type="spellStart"/>
            <w:r w:rsidR="00527A9E" w:rsidRPr="007E1142">
              <w:rPr>
                <w:rFonts w:eastAsia="Times"/>
                <w:sz w:val="18"/>
                <w:szCs w:val="18"/>
              </w:rPr>
              <w:t>Electroplated</w:t>
            </w:r>
            <w:proofErr w:type="spellEnd"/>
            <w:r w:rsidR="00527A9E" w:rsidRPr="007E1142">
              <w:rPr>
                <w:rFonts w:eastAsia="Times"/>
                <w:sz w:val="18"/>
                <w:szCs w:val="18"/>
              </w:rPr>
              <w:t xml:space="preserve"> </w:t>
            </w:r>
            <w:proofErr w:type="spellStart"/>
            <w:r w:rsidR="00527A9E" w:rsidRPr="007E1142">
              <w:rPr>
                <w:rFonts w:eastAsia="Times"/>
                <w:sz w:val="18"/>
                <w:szCs w:val="18"/>
              </w:rPr>
              <w:t>Coating</w:t>
            </w:r>
            <w:proofErr w:type="spellEnd"/>
          </w:p>
        </w:tc>
        <w:tc>
          <w:tcPr>
            <w:tcW w:w="1276" w:type="dxa"/>
            <w:vMerge/>
            <w:tcBorders>
              <w:top w:val="single" w:sz="12" w:space="0" w:color="auto"/>
              <w:left w:val="nil"/>
              <w:bottom w:val="single" w:sz="12" w:space="0" w:color="auto"/>
              <w:right w:val="nil"/>
            </w:tcBorders>
            <w:vAlign w:val="center"/>
            <w:hideMark/>
          </w:tcPr>
          <w:p w14:paraId="442CD155" w14:textId="77777777" w:rsidR="00D438E2" w:rsidRPr="007E1142" w:rsidRDefault="00D438E2" w:rsidP="007E1142">
            <w:pPr>
              <w:jc w:val="both"/>
              <w:rPr>
                <w:rFonts w:eastAsia="Times"/>
                <w:sz w:val="18"/>
                <w:szCs w:val="18"/>
              </w:rPr>
            </w:pPr>
          </w:p>
        </w:tc>
        <w:tc>
          <w:tcPr>
            <w:tcW w:w="1418" w:type="dxa"/>
            <w:tcBorders>
              <w:top w:val="nil"/>
              <w:left w:val="nil"/>
              <w:bottom w:val="single" w:sz="12" w:space="0" w:color="auto"/>
              <w:right w:val="nil"/>
            </w:tcBorders>
            <w:vAlign w:val="center"/>
            <w:hideMark/>
          </w:tcPr>
          <w:p w14:paraId="0667896B" w14:textId="77777777" w:rsidR="00D438E2" w:rsidRPr="007E1142" w:rsidRDefault="00D438E2" w:rsidP="007E1142">
            <w:pPr>
              <w:jc w:val="both"/>
              <w:rPr>
                <w:rFonts w:eastAsia="Times"/>
                <w:sz w:val="18"/>
                <w:szCs w:val="18"/>
              </w:rPr>
            </w:pPr>
            <w:r w:rsidRPr="007E1142">
              <w:rPr>
                <w:rFonts w:eastAsia="Times"/>
                <w:sz w:val="18"/>
                <w:szCs w:val="18"/>
              </w:rPr>
              <w:t>7,29</w:t>
            </w:r>
          </w:p>
        </w:tc>
        <w:tc>
          <w:tcPr>
            <w:tcW w:w="1559" w:type="dxa"/>
            <w:tcBorders>
              <w:top w:val="nil"/>
              <w:left w:val="nil"/>
              <w:bottom w:val="single" w:sz="12" w:space="0" w:color="auto"/>
              <w:right w:val="nil"/>
            </w:tcBorders>
            <w:vAlign w:val="center"/>
            <w:hideMark/>
          </w:tcPr>
          <w:p w14:paraId="4D0F71B0" w14:textId="77777777" w:rsidR="00D438E2" w:rsidRPr="007E1142" w:rsidRDefault="00D438E2" w:rsidP="007E1142">
            <w:pPr>
              <w:jc w:val="both"/>
              <w:rPr>
                <w:rFonts w:eastAsia="Times"/>
                <w:sz w:val="18"/>
                <w:szCs w:val="18"/>
              </w:rPr>
            </w:pPr>
            <w:r w:rsidRPr="007E1142">
              <w:rPr>
                <w:rFonts w:eastAsia="Times"/>
                <w:sz w:val="18"/>
                <w:szCs w:val="18"/>
              </w:rPr>
              <w:t>B2500 = 1,38</w:t>
            </w:r>
          </w:p>
        </w:tc>
        <w:tc>
          <w:tcPr>
            <w:tcW w:w="1009" w:type="dxa"/>
            <w:tcBorders>
              <w:top w:val="nil"/>
              <w:left w:val="nil"/>
              <w:bottom w:val="single" w:sz="12" w:space="0" w:color="auto"/>
              <w:right w:val="nil"/>
            </w:tcBorders>
            <w:vAlign w:val="center"/>
            <w:hideMark/>
          </w:tcPr>
          <w:p w14:paraId="64894008" w14:textId="77777777" w:rsidR="00D438E2" w:rsidRPr="007E1142" w:rsidRDefault="00D438E2" w:rsidP="007E1142">
            <w:pPr>
              <w:jc w:val="both"/>
              <w:rPr>
                <w:rFonts w:eastAsia="Times"/>
                <w:sz w:val="18"/>
                <w:szCs w:val="18"/>
              </w:rPr>
            </w:pPr>
            <w:r w:rsidRPr="007E1142">
              <w:rPr>
                <w:rFonts w:eastAsia="Times"/>
                <w:sz w:val="18"/>
                <w:szCs w:val="18"/>
              </w:rPr>
              <w:t>3200</w:t>
            </w:r>
          </w:p>
        </w:tc>
        <w:tc>
          <w:tcPr>
            <w:tcW w:w="1437" w:type="dxa"/>
            <w:tcBorders>
              <w:top w:val="nil"/>
              <w:left w:val="nil"/>
              <w:bottom w:val="single" w:sz="12" w:space="0" w:color="auto"/>
              <w:right w:val="nil"/>
            </w:tcBorders>
            <w:vAlign w:val="center"/>
            <w:hideMark/>
          </w:tcPr>
          <w:p w14:paraId="006A5D9C" w14:textId="77777777" w:rsidR="00D438E2" w:rsidRPr="007E1142" w:rsidRDefault="00D438E2" w:rsidP="007E1142">
            <w:pPr>
              <w:jc w:val="both"/>
              <w:rPr>
                <w:rFonts w:eastAsia="Times"/>
                <w:sz w:val="18"/>
                <w:szCs w:val="18"/>
              </w:rPr>
            </w:pPr>
            <w:r w:rsidRPr="007E1142">
              <w:rPr>
                <w:rFonts w:eastAsia="Times"/>
                <w:sz w:val="18"/>
                <w:szCs w:val="18"/>
              </w:rPr>
              <w:t>15,0</w:t>
            </w:r>
          </w:p>
        </w:tc>
      </w:tr>
    </w:tbl>
    <w:p w14:paraId="6CBEAE15" w14:textId="77777777" w:rsidR="00426C40" w:rsidRPr="007E1142" w:rsidRDefault="00426C40" w:rsidP="007E1142">
      <w:pPr>
        <w:spacing w:before="120" w:after="0" w:line="240" w:lineRule="auto"/>
        <w:ind w:firstLine="284"/>
        <w:jc w:val="both"/>
        <w:rPr>
          <w:rFonts w:ascii="Times New Roman" w:eastAsia="Times" w:hAnsi="Times New Roman" w:cs="Times New Roman"/>
          <w:color w:val="000000"/>
          <w:sz w:val="20"/>
          <w:szCs w:val="20"/>
          <w:lang w:val="sk-SK" w:eastAsia="sk-SK"/>
        </w:rPr>
      </w:pPr>
      <w:r w:rsidRPr="007E1142">
        <w:rPr>
          <w:rFonts w:ascii="Times New Roman" w:eastAsia="Times" w:hAnsi="Times New Roman" w:cs="Times New Roman"/>
          <w:color w:val="000000"/>
          <w:sz w:val="20"/>
          <w:szCs w:val="20"/>
          <w:lang w:val="sk-SK" w:eastAsia="sk-SK"/>
        </w:rPr>
        <w:t>Currently, Höganas has also begun industrial production of new materials made from encapsulated LCM powders, designed for operation at frequencies of 60 Hz [4, 6]. Just like the earlier IP powder, which applies in the bandwidth of 200 to 400 Hz, LCM powders are also aimed at making alternating electric current electronic devices, not only on components but also on whole assemblies. Therefore the introduction of LCM powders in the production of micromotors gives a chance of its adoption in automotive world. In LCM powders, the particles are painted with a non-conductive material. Nevertheless, unlike IP powder, LCM powders are insulated with a coating of a mixture, and this factor contributes to reduction in losses. Both types of powders are manufactured by Höganas using the hot pressing method [1, 7, 8].</w:t>
      </w:r>
    </w:p>
    <w:p w14:paraId="02CDE0D6" w14:textId="73E32CC3" w:rsidR="00426C40" w:rsidRPr="007E1142" w:rsidRDefault="00426C40" w:rsidP="007E1142">
      <w:pPr>
        <w:spacing w:after="0" w:line="240" w:lineRule="auto"/>
        <w:ind w:firstLine="284"/>
        <w:jc w:val="both"/>
        <w:rPr>
          <w:rFonts w:ascii="Times New Roman" w:hAnsi="Times New Roman" w:cs="Times New Roman"/>
          <w:color w:val="0A0A0A"/>
          <w:sz w:val="27"/>
          <w:szCs w:val="27"/>
          <w:shd w:val="clear" w:color="auto" w:fill="F5F5F5"/>
          <w:lang w:val="sk-SK"/>
        </w:rPr>
      </w:pPr>
      <w:r w:rsidRPr="007E1142">
        <w:rPr>
          <w:rFonts w:ascii="Times New Roman" w:eastAsia="Times" w:hAnsi="Times New Roman" w:cs="Times New Roman"/>
          <w:color w:val="000000"/>
          <w:sz w:val="20"/>
          <w:szCs w:val="20"/>
          <w:lang w:val="sk-SK" w:eastAsia="sk-SK"/>
        </w:rPr>
        <w:t>Simultaneously, low mechanical strength is one of the downsides of such materials when compared to the powder material or materials that are sintered at a high temperature. Thus, a study that will create and choose a suitable insulating element will assist in disposing of this limitation and enhancing both physical and mechanical characteristics of the material. Such ferromagnetic materials used to make the insulating layers are the most promising since these materials simultaneously substantially increase the electrical resistivity. The purity state of the initial iron powders should also be taken into account and the right methods of manufacturing chosen. In recent years, amorphous materials have been widely used in radio and electrical engineering devices as alternatives to permalloy, ferrites, electrical steels, and magnetodielectrics [6, 8, 11]. At present, the most common are soft magnetic amorphous alloys that combine the best magnetic and mechanical characteristics. A key feature of soft magnetic amorphous alloys compared to crystalline ones is their high content (about 20%) of non-magnetic elements, such as boron, carbon, phosphorus, and others, which are necessary to maintain the amorphous structure. These components reduce the highest values of saturation induction in the amorphous alloys compared to the crystalline materials and heighten the temperature coefficient of the magnetic powers. At the same time, these elements enhance the electrical resistance, hardness, strength, and corrosion resistance of amorphous alloys [4, 6, 10].</w:t>
      </w:r>
    </w:p>
    <w:p w14:paraId="0B5F8724" w14:textId="59967C33" w:rsidR="003269E0" w:rsidRPr="007E1142" w:rsidRDefault="00826207" w:rsidP="007E1142">
      <w:pPr>
        <w:spacing w:after="120" w:line="240" w:lineRule="auto"/>
        <w:ind w:firstLine="284"/>
        <w:jc w:val="both"/>
        <w:rPr>
          <w:rFonts w:ascii="Times New Roman" w:eastAsia="Times" w:hAnsi="Times New Roman" w:cs="Times New Roman"/>
          <w:color w:val="000000"/>
          <w:sz w:val="20"/>
          <w:szCs w:val="20"/>
          <w:lang w:val="sk-SK" w:eastAsia="sk-SK"/>
        </w:rPr>
      </w:pPr>
      <w:r w:rsidRPr="007E1142">
        <w:rPr>
          <w:rFonts w:ascii="Times New Roman" w:eastAsia="Times" w:hAnsi="Times New Roman" w:cs="Times New Roman"/>
          <w:color w:val="000000"/>
          <w:sz w:val="20"/>
          <w:szCs w:val="20"/>
          <w:lang w:val="sk-SK" w:eastAsia="sk-SK"/>
        </w:rPr>
        <w:t>Figure 1</w:t>
      </w:r>
      <w:r w:rsidR="00AC0CF3">
        <w:rPr>
          <w:rFonts w:ascii="Times New Roman" w:eastAsia="Times" w:hAnsi="Times New Roman" w:cs="Times New Roman"/>
          <w:color w:val="000000"/>
          <w:sz w:val="20"/>
          <w:szCs w:val="20"/>
          <w:lang w:val="sk-SK" w:eastAsia="sk-SK"/>
        </w:rPr>
        <w:t>,</w:t>
      </w:r>
      <w:r w:rsidRPr="007E1142">
        <w:rPr>
          <w:rFonts w:ascii="Times New Roman" w:eastAsia="Times" w:hAnsi="Times New Roman" w:cs="Times New Roman"/>
          <w:color w:val="000000"/>
          <w:sz w:val="20"/>
          <w:szCs w:val="20"/>
          <w:lang w:val="sk-SK" w:eastAsia="sk-SK"/>
        </w:rPr>
        <w:t xml:space="preserve"> presents the dependence of induction magnitude on the magnetic field for composites based on iron metal powders ASC100.29 (1) and LiaoNing (2), where the particles are coated with oxide layers and have grain sizes greater than 100 µm and less than 100 µm.</w:t>
      </w:r>
      <w:r w:rsidR="000073B4" w:rsidRPr="007E1142">
        <w:rPr>
          <w:rFonts w:ascii="Times New Roman" w:eastAsia="Times" w:hAnsi="Times New Roman" w:cs="Times New Roman"/>
          <w:color w:val="000000"/>
          <w:sz w:val="20"/>
          <w:szCs w:val="20"/>
          <w:lang w:val="sk-SK" w:eastAsia="sk-SK"/>
        </w:rPr>
        <w:t xml:space="preserve"> </w:t>
      </w:r>
      <w:r w:rsidRPr="007E1142">
        <w:rPr>
          <w:rFonts w:ascii="Times New Roman" w:eastAsia="Times" w:hAnsi="Times New Roman" w:cs="Times New Roman"/>
          <w:color w:val="000000"/>
          <w:sz w:val="20"/>
          <w:szCs w:val="20"/>
          <w:lang w:val="sk-SK" w:eastAsia="sk-SK"/>
        </w:rPr>
        <w:t xml:space="preserve">The B=f(H) dependencies show that the magnetic induction of the composite material based on the Chinese LiaoNing powder is lower than that of the ASC100.29-based composite by 8% in the field range H = 1–9 kA/m for low-frequency applications and H = 4–9 kA/m for high-frequency </w:t>
      </w:r>
      <w:r w:rsidRPr="007E1142">
        <w:rPr>
          <w:rFonts w:ascii="Times New Roman" w:eastAsia="Times" w:hAnsi="Times New Roman" w:cs="Times New Roman"/>
          <w:color w:val="000000"/>
          <w:sz w:val="20"/>
          <w:szCs w:val="20"/>
          <w:lang w:val="sk-SK" w:eastAsia="sk-SK"/>
        </w:rPr>
        <w:lastRenderedPageBreak/>
        <w:t>applications. This is likely due to the fact that the LiaoNing powder contains more impurities (1.31% compared to 0.5% in ASC100.29) in addition to pure iron</w:t>
      </w:r>
      <w:r w:rsidR="003269E0" w:rsidRPr="007E1142">
        <w:rPr>
          <w:rFonts w:ascii="Times New Roman" w:eastAsia="Times" w:hAnsi="Times New Roman" w:cs="Times New Roman"/>
          <w:color w:val="000000"/>
          <w:sz w:val="20"/>
          <w:szCs w:val="20"/>
          <w:lang w:val="sk-SK" w:eastAsia="sk-SK"/>
        </w:rPr>
        <w:t>.</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85"/>
      </w:tblGrid>
      <w:tr w:rsidR="003F46E0" w:rsidRPr="007E1142" w14:paraId="505A59A6" w14:textId="77777777" w:rsidTr="007E1142">
        <w:trPr>
          <w:trHeight w:val="3237"/>
        </w:trPr>
        <w:tc>
          <w:tcPr>
            <w:tcW w:w="4786" w:type="dxa"/>
          </w:tcPr>
          <w:p w14:paraId="506653EF" w14:textId="7A6EACE7" w:rsidR="003269E0" w:rsidRPr="007E1142" w:rsidRDefault="00B30A8E" w:rsidP="007E1142">
            <w:pPr>
              <w:jc w:val="center"/>
              <w:rPr>
                <w:color w:val="000000" w:themeColor="text1"/>
                <w:sz w:val="28"/>
                <w:szCs w:val="28"/>
              </w:rPr>
            </w:pPr>
            <w:r w:rsidRPr="007E1142">
              <w:rPr>
                <w:i/>
                <w:noProof/>
                <w:color w:val="000000" w:themeColor="text1"/>
              </w:rPr>
              <w:t>а</w:t>
            </w:r>
            <w:r w:rsidRPr="007E1142">
              <w:rPr>
                <w:i/>
                <w:noProof/>
                <w:color w:val="000000" w:themeColor="text1"/>
                <w:lang w:val="en-GB"/>
              </w:rPr>
              <w:t>)</w:t>
            </w:r>
            <w:r w:rsidR="007E1142" w:rsidRPr="007E1142">
              <w:rPr>
                <w:rFonts w:eastAsiaTheme="minorHAnsi"/>
                <w:sz w:val="22"/>
                <w:szCs w:val="22"/>
              </w:rPr>
              <w:object w:dxaOrig="9165" w:dyaOrig="5955" w14:anchorId="6DE960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8" type="#_x0000_t75" style="width:194.25pt;height:154.5pt" o:ole="">
                  <v:imagedata r:id="rId12" o:title=""/>
                </v:shape>
                <o:OLEObject Type="Embed" ProgID="PBrush" ShapeID="_x0000_i1118" DrawAspect="Content" ObjectID="_1819010538" r:id="rId13"/>
              </w:object>
            </w:r>
          </w:p>
        </w:tc>
        <w:tc>
          <w:tcPr>
            <w:tcW w:w="4785" w:type="dxa"/>
          </w:tcPr>
          <w:p w14:paraId="00AEE380" w14:textId="384836B3" w:rsidR="003269E0" w:rsidRPr="007E1142" w:rsidRDefault="007E1142" w:rsidP="007E1142">
            <w:pPr>
              <w:jc w:val="center"/>
              <w:rPr>
                <w:color w:val="000000" w:themeColor="text1"/>
                <w:sz w:val="28"/>
                <w:szCs w:val="28"/>
              </w:rPr>
            </w:pPr>
            <w:r w:rsidRPr="007E1142">
              <w:rPr>
                <w:i/>
                <w:noProof/>
                <w:color w:val="000000" w:themeColor="text1"/>
                <w:lang w:val="en-GB"/>
              </w:rPr>
              <w:t>b)</w:t>
            </w:r>
            <w:r w:rsidRPr="007E1142">
              <w:rPr>
                <w:rFonts w:eastAsiaTheme="minorHAnsi"/>
                <w:sz w:val="22"/>
                <w:szCs w:val="22"/>
              </w:rPr>
              <w:object w:dxaOrig="8835" w:dyaOrig="5835" w14:anchorId="55064909">
                <v:shape id="_x0000_i1119" type="#_x0000_t75" style="width:198.75pt;height:154.5pt" o:ole="">
                  <v:imagedata r:id="rId14" o:title=""/>
                </v:shape>
                <o:OLEObject Type="Embed" ProgID="PBrush" ShapeID="_x0000_i1119" DrawAspect="Content" ObjectID="_1819010539" r:id="rId15"/>
              </w:object>
            </w:r>
          </w:p>
        </w:tc>
      </w:tr>
      <w:tr w:rsidR="003F46E0" w:rsidRPr="007E1142" w14:paraId="28AE5182" w14:textId="77777777" w:rsidTr="003269E0">
        <w:tc>
          <w:tcPr>
            <w:tcW w:w="9571" w:type="dxa"/>
            <w:gridSpan w:val="2"/>
          </w:tcPr>
          <w:p w14:paraId="127835A2" w14:textId="5A92D8EB" w:rsidR="003269E0" w:rsidRPr="007E1142" w:rsidRDefault="008D61D9" w:rsidP="00AC0CF3">
            <w:pPr>
              <w:keepNext/>
              <w:keepLines/>
              <w:jc w:val="center"/>
              <w:rPr>
                <w:b/>
                <w:color w:val="000000" w:themeColor="text1"/>
                <w:lang w:val="en-GB"/>
              </w:rPr>
            </w:pPr>
            <w:r w:rsidRPr="007E1142">
              <w:rPr>
                <w:rFonts w:eastAsia="Times"/>
                <w:b/>
                <w:color w:val="000000"/>
                <w:sz w:val="18"/>
                <w:szCs w:val="18"/>
                <w:lang w:val="sk-SK" w:eastAsia="sk-SK"/>
              </w:rPr>
              <w:t>FIGURE 1</w:t>
            </w:r>
            <w:r w:rsidR="00386390" w:rsidRPr="007E1142">
              <w:rPr>
                <w:rFonts w:eastAsia="Times"/>
                <w:b/>
                <w:color w:val="000000"/>
                <w:sz w:val="18"/>
                <w:szCs w:val="18"/>
                <w:lang w:val="sk-SK" w:eastAsia="sk-SK"/>
              </w:rPr>
              <w:t xml:space="preserve">. </w:t>
            </w:r>
            <w:r w:rsidR="00826207" w:rsidRPr="007E1142">
              <w:rPr>
                <w:rFonts w:eastAsia="Times"/>
                <w:color w:val="000000"/>
                <w:sz w:val="18"/>
                <w:szCs w:val="18"/>
                <w:lang w:val="sk-SK" w:eastAsia="sk-SK"/>
              </w:rPr>
              <w:t>a – with grain size greater than 100 µm, b – with grain size less than 100 µm</w:t>
            </w:r>
          </w:p>
        </w:tc>
      </w:tr>
    </w:tbl>
    <w:p w14:paraId="512FFC1C" w14:textId="17F97F54" w:rsidR="00AC0CF3" w:rsidRPr="00AC0CF3" w:rsidRDefault="00AC0CF3" w:rsidP="00AC0CF3">
      <w:pPr>
        <w:pStyle w:val="ac"/>
        <w:spacing w:before="120" w:after="120" w:line="240" w:lineRule="auto"/>
        <w:ind w:firstLine="284"/>
        <w:jc w:val="center"/>
        <w:rPr>
          <w:noProof/>
          <w:color w:val="000000" w:themeColor="text1"/>
          <w:szCs w:val="28"/>
          <w:lang w:val="en-US"/>
        </w:rPr>
      </w:pPr>
      <w:r w:rsidRPr="007E1142">
        <w:rPr>
          <w:rFonts w:eastAsia="Times"/>
          <w:color w:val="000000"/>
          <w:sz w:val="20"/>
          <w:lang w:val="sk-SK" w:eastAsia="sk-SK"/>
        </w:rPr>
        <w:t>Figure 2</w:t>
      </w:r>
      <w:r>
        <w:rPr>
          <w:rFonts w:eastAsia="Times"/>
          <w:color w:val="000000"/>
          <w:sz w:val="20"/>
          <w:lang w:val="en-US" w:eastAsia="sk-SK"/>
        </w:rPr>
        <w:t>,</w:t>
      </w:r>
      <w:r w:rsidRPr="007E1142">
        <w:rPr>
          <w:rFonts w:eastAsia="Times"/>
          <w:color w:val="000000"/>
          <w:sz w:val="20"/>
          <w:lang w:val="sk-SK" w:eastAsia="sk-SK"/>
        </w:rPr>
        <w:t xml:space="preserve"> Dependence of B = f(H) for the soft magnetic composite based on ASC100.29 (1) and LiaoNing (2)</w:t>
      </w:r>
    </w:p>
    <w:p w14:paraId="684064DC" w14:textId="4E98A648" w:rsidR="003269E0" w:rsidRPr="00AC0CF3" w:rsidRDefault="00386390" w:rsidP="007E1142">
      <w:pPr>
        <w:pStyle w:val="ac"/>
        <w:spacing w:line="240" w:lineRule="auto"/>
        <w:ind w:firstLine="0"/>
        <w:jc w:val="center"/>
        <w:rPr>
          <w:color w:val="000000" w:themeColor="text1"/>
          <w:sz w:val="20"/>
        </w:rPr>
      </w:pPr>
      <w:r w:rsidRPr="007E1142">
        <w:rPr>
          <w:noProof/>
          <w:color w:val="000000" w:themeColor="text1"/>
          <w:szCs w:val="28"/>
        </w:rPr>
        <w:drawing>
          <wp:inline distT="0" distB="0" distL="0" distR="0" wp14:anchorId="10511638" wp14:editId="6EC0C9EF">
            <wp:extent cx="3847110" cy="2267557"/>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59215" cy="2274692"/>
                    </a:xfrm>
                    <a:prstGeom prst="rect">
                      <a:avLst/>
                    </a:prstGeom>
                    <a:noFill/>
                    <a:ln>
                      <a:noFill/>
                    </a:ln>
                  </pic:spPr>
                </pic:pic>
              </a:graphicData>
            </a:graphic>
          </wp:inline>
        </w:drawing>
      </w:r>
    </w:p>
    <w:p w14:paraId="52C8E2FA" w14:textId="44DD3789" w:rsidR="00826207" w:rsidRPr="007E1142" w:rsidRDefault="008D61D9" w:rsidP="00AC0CF3">
      <w:pPr>
        <w:keepNext/>
        <w:keepLines/>
        <w:spacing w:after="120" w:line="240" w:lineRule="auto"/>
        <w:jc w:val="center"/>
        <w:rPr>
          <w:rFonts w:ascii="Times New Roman" w:eastAsia="Times" w:hAnsi="Times New Roman" w:cs="Times New Roman"/>
          <w:color w:val="000000"/>
          <w:sz w:val="18"/>
          <w:szCs w:val="18"/>
          <w:lang w:val="sk-SK" w:eastAsia="sk-SK"/>
        </w:rPr>
      </w:pPr>
      <w:r w:rsidRPr="007E1142">
        <w:rPr>
          <w:rFonts w:ascii="Times New Roman" w:eastAsia="Times" w:hAnsi="Times New Roman" w:cs="Times New Roman"/>
          <w:b/>
          <w:color w:val="000000"/>
          <w:sz w:val="18"/>
          <w:szCs w:val="18"/>
          <w:lang w:val="sk-SK" w:eastAsia="sk-SK"/>
        </w:rPr>
        <w:t>FIGURE 2</w:t>
      </w:r>
      <w:r w:rsidR="00826207" w:rsidRPr="007E1142">
        <w:rPr>
          <w:rFonts w:ascii="Times New Roman" w:eastAsia="Times" w:hAnsi="Times New Roman" w:cs="Times New Roman"/>
          <w:b/>
          <w:color w:val="000000"/>
          <w:sz w:val="18"/>
          <w:szCs w:val="18"/>
          <w:lang w:val="sk-SK" w:eastAsia="sk-SK"/>
        </w:rPr>
        <w:t xml:space="preserve">. </w:t>
      </w:r>
      <w:r w:rsidR="00826207" w:rsidRPr="007E1142">
        <w:rPr>
          <w:rFonts w:ascii="Times New Roman" w:eastAsia="Times" w:hAnsi="Times New Roman" w:cs="Times New Roman"/>
          <w:color w:val="000000"/>
          <w:sz w:val="18"/>
          <w:szCs w:val="18"/>
          <w:lang w:val="sk-SK" w:eastAsia="sk-SK"/>
        </w:rPr>
        <w:t>Dependence of Magnetic Induction on Magnetic Field Strength for Composite Soft Magnetic Materials</w:t>
      </w:r>
      <w:r w:rsidR="00AC0CF3">
        <w:rPr>
          <w:rFonts w:ascii="Times New Roman" w:eastAsia="Times" w:hAnsi="Times New Roman" w:cs="Times New Roman"/>
          <w:color w:val="000000"/>
          <w:sz w:val="18"/>
          <w:szCs w:val="18"/>
          <w:lang w:val="sk-SK" w:eastAsia="sk-SK"/>
        </w:rPr>
        <w:br/>
      </w:r>
      <w:r w:rsidR="00826207" w:rsidRPr="007E1142">
        <w:rPr>
          <w:rFonts w:ascii="Times New Roman" w:eastAsia="Times" w:hAnsi="Times New Roman" w:cs="Times New Roman"/>
          <w:color w:val="000000"/>
          <w:sz w:val="18"/>
          <w:szCs w:val="18"/>
          <w:lang w:val="sk-SK" w:eastAsia="sk-SK"/>
        </w:rPr>
        <w:t>1 – Composite based on ASC100.29 iron powders with oxide insulation</w:t>
      </w:r>
      <w:r w:rsidR="00AC0CF3">
        <w:rPr>
          <w:rFonts w:ascii="Times New Roman" w:eastAsia="Times" w:hAnsi="Times New Roman" w:cs="Times New Roman"/>
          <w:color w:val="000000"/>
          <w:sz w:val="18"/>
          <w:szCs w:val="18"/>
          <w:lang w:val="sk-SK" w:eastAsia="sk-SK"/>
        </w:rPr>
        <w:t xml:space="preserve">; </w:t>
      </w:r>
      <w:r w:rsidR="00826207" w:rsidRPr="007E1142">
        <w:rPr>
          <w:rFonts w:ascii="Times New Roman" w:eastAsia="Times" w:hAnsi="Times New Roman" w:cs="Times New Roman"/>
          <w:color w:val="000000"/>
          <w:sz w:val="18"/>
          <w:szCs w:val="18"/>
          <w:lang w:val="sk-SK" w:eastAsia="sk-SK"/>
        </w:rPr>
        <w:t>2 – Composite based on Micrometals powders with dielectric insulation</w:t>
      </w:r>
    </w:p>
    <w:p w14:paraId="21745B0B" w14:textId="309E37B5" w:rsidR="00426C40" w:rsidRPr="007E1142" w:rsidRDefault="00426C40" w:rsidP="00AC0CF3">
      <w:pPr>
        <w:spacing w:after="0" w:line="240" w:lineRule="auto"/>
        <w:ind w:firstLine="284"/>
        <w:jc w:val="both"/>
        <w:rPr>
          <w:rFonts w:ascii="Times New Roman" w:eastAsia="Times" w:hAnsi="Times New Roman" w:cs="Times New Roman"/>
          <w:color w:val="000000"/>
          <w:sz w:val="20"/>
          <w:szCs w:val="20"/>
          <w:lang w:val="sk-SK" w:eastAsia="sk-SK"/>
        </w:rPr>
      </w:pPr>
      <w:r w:rsidRPr="007E1142">
        <w:rPr>
          <w:rFonts w:ascii="Times New Roman" w:eastAsia="Times" w:hAnsi="Times New Roman" w:cs="Times New Roman"/>
          <w:color w:val="000000"/>
          <w:sz w:val="20"/>
          <w:szCs w:val="20"/>
          <w:lang w:val="sk-SK" w:eastAsia="sk-SK"/>
        </w:rPr>
        <w:t>Figure 2</w:t>
      </w:r>
      <w:r w:rsidR="00AC0CF3">
        <w:rPr>
          <w:rFonts w:ascii="Times New Roman" w:eastAsia="Times" w:hAnsi="Times New Roman" w:cs="Times New Roman"/>
          <w:color w:val="000000"/>
          <w:sz w:val="20"/>
          <w:szCs w:val="20"/>
          <w:lang w:val="sk-SK" w:eastAsia="sk-SK"/>
        </w:rPr>
        <w:t>,</w:t>
      </w:r>
      <w:r w:rsidRPr="007E1142">
        <w:rPr>
          <w:rFonts w:ascii="Times New Roman" w:eastAsia="Times" w:hAnsi="Times New Roman" w:cs="Times New Roman"/>
          <w:color w:val="000000"/>
          <w:sz w:val="20"/>
          <w:szCs w:val="20"/>
          <w:lang w:val="sk-SK" w:eastAsia="sk-SK"/>
        </w:rPr>
        <w:t xml:space="preserve"> illustrates the magnetic induction dependence of samples of ASC100.29 powders made on the iron basis with a layer of oxide and Micrometals powders with a layer of dielectric. In case of Micrometals powders, throughout a magnetic field strength of 20 kA/m, the saturation induction is got to the value of 1.25 T. The situation is different with the sample based on ASC100.29, which at the same field strength will already have an induction of 1.8 T that will further increase as the field strength increases, to a maximum value of 2.1 T at a field strength that is more than 40 kA/m. Analysis of the above research findings shows that the ASC100.29 powder with its oxide-coated particles and the composite thereof has a number of advantages. The overall electromagnetic losses in a range 250-2000 Hz are two-fold less in comparison with Atomet 1001HP powder. It has increased the maximum induction in fields of Micrometals-based composite with dielectric insulation (60 percent lower than that using ASC100.29-based composites) in fields up to 50 kA/m. LiaoNing powders are not that good either, as they have been shown to be inferior to ASC100.29 powders in all aspects. Therefore, for further research, iron micropowders of the ASC100.29 grade (Sweden) were selected as the primary material. Among the key factors, there is the enhancement of the efficiency of the product manufacturing and the drop of the technological costs. In order to attain it, the dependence of electromagnetic parameters on the thickness of the used oxide layer has been studied</w:t>
      </w:r>
      <w:r w:rsidR="007E1142">
        <w:rPr>
          <w:rFonts w:ascii="Times New Roman" w:eastAsia="Times" w:hAnsi="Times New Roman" w:cs="Times New Roman"/>
          <w:color w:val="000000"/>
          <w:sz w:val="20"/>
          <w:szCs w:val="20"/>
          <w:lang w:val="sk-SK" w:eastAsia="sk-SK"/>
        </w:rPr>
        <w:t xml:space="preserve"> [9, 12, 13, 14]</w:t>
      </w:r>
      <w:r w:rsidRPr="007E1142">
        <w:rPr>
          <w:rFonts w:ascii="Times New Roman" w:eastAsia="Times" w:hAnsi="Times New Roman" w:cs="Times New Roman"/>
          <w:color w:val="000000"/>
          <w:sz w:val="20"/>
          <w:szCs w:val="20"/>
          <w:lang w:val="sk-SK" w:eastAsia="sk-SK"/>
        </w:rPr>
        <w:t>.</w:t>
      </w:r>
    </w:p>
    <w:p w14:paraId="26B0192E" w14:textId="10DFBA48" w:rsidR="00E62F8B" w:rsidRPr="00AC0CF3" w:rsidRDefault="008D61D9" w:rsidP="00AC0CF3">
      <w:pPr>
        <w:spacing w:before="240" w:after="240" w:line="240" w:lineRule="auto"/>
        <w:jc w:val="center"/>
        <w:rPr>
          <w:rFonts w:ascii="Times New Roman" w:hAnsi="Times New Roman" w:cs="Times New Roman"/>
          <w:b/>
          <w:sz w:val="24"/>
          <w:szCs w:val="24"/>
          <w:lang w:val="sk-SK" w:eastAsia="sk-SK"/>
        </w:rPr>
      </w:pPr>
      <w:r w:rsidRPr="00AC0CF3">
        <w:rPr>
          <w:rFonts w:ascii="Times New Roman" w:hAnsi="Times New Roman" w:cs="Times New Roman"/>
          <w:b/>
          <w:sz w:val="24"/>
          <w:szCs w:val="24"/>
          <w:lang w:val="sk-SK" w:eastAsia="sk-SK"/>
        </w:rPr>
        <w:t>CONCLUSION</w:t>
      </w:r>
    </w:p>
    <w:p w14:paraId="119B812C" w14:textId="6D6D49DC" w:rsidR="00426C40" w:rsidRPr="00AC0CF3" w:rsidRDefault="00426C40" w:rsidP="00AC0CF3">
      <w:pPr>
        <w:spacing w:after="0" w:line="240" w:lineRule="auto"/>
        <w:ind w:firstLine="284"/>
        <w:jc w:val="both"/>
        <w:rPr>
          <w:rFonts w:ascii="Times New Roman" w:eastAsia="Times" w:hAnsi="Times New Roman" w:cs="Times New Roman"/>
          <w:color w:val="000000"/>
          <w:sz w:val="20"/>
          <w:szCs w:val="20"/>
          <w:lang w:val="sk-SK" w:eastAsia="sk-SK"/>
        </w:rPr>
      </w:pPr>
      <w:r w:rsidRPr="00AC0CF3">
        <w:rPr>
          <w:rFonts w:ascii="Times New Roman" w:eastAsia="Times" w:hAnsi="Times New Roman" w:cs="Times New Roman"/>
          <w:color w:val="000000"/>
          <w:sz w:val="20"/>
          <w:szCs w:val="20"/>
          <w:lang w:val="sk-SK" w:eastAsia="sk-SK"/>
        </w:rPr>
        <w:t xml:space="preserve">As demonstrated through the conducted research, there are immense technical difficulties when it comes to the production of amorphous alloys that display high magnetic permeability. It uses cold-roll sheet in the range of </w:t>
      </w:r>
      <w:r w:rsidR="00AC0CF3">
        <w:rPr>
          <w:rFonts w:ascii="Times New Roman" w:eastAsia="Times" w:hAnsi="Times New Roman" w:cs="Times New Roman"/>
          <w:color w:val="000000"/>
          <w:sz w:val="20"/>
          <w:szCs w:val="20"/>
          <w:lang w:val="sk-SK" w:eastAsia="sk-SK"/>
        </w:rPr>
        <w:br/>
      </w:r>
      <w:r w:rsidRPr="00AC0CF3">
        <w:rPr>
          <w:rFonts w:ascii="Times New Roman" w:eastAsia="Times" w:hAnsi="Times New Roman" w:cs="Times New Roman"/>
          <w:color w:val="000000"/>
          <w:sz w:val="20"/>
          <w:szCs w:val="20"/>
          <w:lang w:val="sk-SK" w:eastAsia="sk-SK"/>
        </w:rPr>
        <w:t xml:space="preserve">1,5-20 </w:t>
      </w:r>
      <m:oMath>
        <m:r>
          <w:rPr>
            <w:rFonts w:ascii="Cambria Math" w:eastAsia="Times" w:hAnsi="Cambria Math" w:cs="Times New Roman"/>
            <w:color w:val="000000"/>
            <w:sz w:val="20"/>
            <w:szCs w:val="20"/>
            <w:lang w:val="sk-SK" w:eastAsia="sk-SK"/>
          </w:rPr>
          <m:t>μm</m:t>
        </m:r>
      </m:oMath>
      <w:r w:rsidRPr="00AC0CF3">
        <w:rPr>
          <w:rFonts w:ascii="Times New Roman" w:eastAsia="Times" w:hAnsi="Times New Roman" w:cs="Times New Roman"/>
          <w:color w:val="000000"/>
          <w:sz w:val="20"/>
          <w:szCs w:val="20"/>
          <w:lang w:val="sk-SK" w:eastAsia="sk-SK"/>
        </w:rPr>
        <w:t>, hot-roll sheet and cold draw wire. Consequently, such materials only find application in niche applications where they need to be used where high magnetic permeability is needed. The informational analysis of technological methods of obtaining soft magnetic powder materials, the study of magnetic and physico-mechanical characteristics of investigational samples indicates that, perhaps, the creation of materials based on nanocrystalline powders is currently one of the most prospective directions in the further development of this area.</w:t>
      </w:r>
    </w:p>
    <w:p w14:paraId="097E39B4" w14:textId="23C30E2B" w:rsidR="008F0593" w:rsidRPr="00AC0CF3" w:rsidRDefault="008D61D9" w:rsidP="00AC0CF3">
      <w:pPr>
        <w:spacing w:before="240" w:after="240" w:line="240" w:lineRule="auto"/>
        <w:jc w:val="center"/>
        <w:rPr>
          <w:rFonts w:ascii="Times New Roman" w:hAnsi="Times New Roman" w:cs="Times New Roman"/>
          <w:b/>
          <w:sz w:val="24"/>
          <w:szCs w:val="24"/>
          <w:lang w:val="sk-SK" w:eastAsia="sk-SK"/>
        </w:rPr>
      </w:pPr>
      <w:r w:rsidRPr="00AC0CF3">
        <w:rPr>
          <w:rFonts w:ascii="Times New Roman" w:hAnsi="Times New Roman" w:cs="Times New Roman"/>
          <w:b/>
          <w:sz w:val="24"/>
          <w:szCs w:val="24"/>
          <w:lang w:val="sk-SK" w:eastAsia="sk-SK"/>
        </w:rPr>
        <w:lastRenderedPageBreak/>
        <w:t>REFERENCES</w:t>
      </w:r>
    </w:p>
    <w:p w14:paraId="243091D1" w14:textId="75F0BC17" w:rsidR="00AC0CF3" w:rsidRPr="00AC0CF3" w:rsidRDefault="00AC0CF3" w:rsidP="00043F8C">
      <w:pPr>
        <w:pStyle w:val="ae"/>
        <w:numPr>
          <w:ilvl w:val="0"/>
          <w:numId w:val="3"/>
        </w:numPr>
        <w:spacing w:before="0" w:beforeAutospacing="0" w:after="0" w:afterAutospacing="0"/>
        <w:ind w:left="425" w:hanging="425"/>
        <w:jc w:val="both"/>
        <w:rPr>
          <w:sz w:val="20"/>
          <w:szCs w:val="20"/>
          <w:lang w:val="en-US"/>
        </w:rPr>
      </w:pPr>
      <w:r w:rsidRPr="00AC0CF3">
        <w:rPr>
          <w:sz w:val="20"/>
          <w:szCs w:val="20"/>
          <w:lang w:val="en-US"/>
        </w:rPr>
        <w:t xml:space="preserve">U. T. </w:t>
      </w:r>
      <w:proofErr w:type="spellStart"/>
      <w:r w:rsidRPr="00AC0CF3">
        <w:rPr>
          <w:sz w:val="20"/>
          <w:szCs w:val="20"/>
          <w:lang w:val="en-US"/>
        </w:rPr>
        <w:t>Berdiyev</w:t>
      </w:r>
      <w:proofErr w:type="spellEnd"/>
      <w:r w:rsidRPr="00AC0CF3">
        <w:rPr>
          <w:sz w:val="20"/>
          <w:szCs w:val="20"/>
          <w:lang w:val="en-US"/>
        </w:rPr>
        <w:t xml:space="preserve">, A. K. </w:t>
      </w:r>
      <w:proofErr w:type="spellStart"/>
      <w:r w:rsidRPr="00AC0CF3">
        <w:rPr>
          <w:sz w:val="20"/>
          <w:szCs w:val="20"/>
          <w:lang w:val="en-US"/>
        </w:rPr>
        <w:t>Vetcher</w:t>
      </w:r>
      <w:proofErr w:type="spellEnd"/>
      <w:r w:rsidRPr="00AC0CF3">
        <w:rPr>
          <w:sz w:val="20"/>
          <w:szCs w:val="20"/>
          <w:lang w:val="en-US"/>
        </w:rPr>
        <w:t xml:space="preserve">, F. F. Hasanov, and B. B. </w:t>
      </w:r>
      <w:proofErr w:type="spellStart"/>
      <w:r w:rsidRPr="00AC0CF3">
        <w:rPr>
          <w:sz w:val="20"/>
          <w:szCs w:val="20"/>
          <w:lang w:val="en-US"/>
        </w:rPr>
        <w:t>Avazov</w:t>
      </w:r>
      <w:proofErr w:type="spellEnd"/>
      <w:r w:rsidRPr="00AC0CF3">
        <w:rPr>
          <w:sz w:val="20"/>
          <w:szCs w:val="20"/>
          <w:lang w:val="en-US"/>
        </w:rPr>
        <w:t xml:space="preserve">, </w:t>
      </w:r>
      <w:r w:rsidRPr="00AC0CF3">
        <w:rPr>
          <w:rStyle w:val="af1"/>
          <w:sz w:val="20"/>
          <w:szCs w:val="20"/>
          <w:lang w:val="en-US"/>
        </w:rPr>
        <w:t>Soft magnetic materials for electric machine construction</w:t>
      </w:r>
      <w:r w:rsidRPr="00AC0CF3">
        <w:rPr>
          <w:sz w:val="20"/>
          <w:szCs w:val="20"/>
          <w:lang w:val="en-US"/>
        </w:rPr>
        <w:t xml:space="preserve">, </w:t>
      </w:r>
      <w:r w:rsidRPr="00AC0CF3">
        <w:rPr>
          <w:rStyle w:val="af1"/>
          <w:sz w:val="20"/>
          <w:szCs w:val="20"/>
          <w:lang w:val="en-US"/>
        </w:rPr>
        <w:t>AIP Conf. Proc.</w:t>
      </w:r>
      <w:r w:rsidRPr="00AC0CF3">
        <w:rPr>
          <w:sz w:val="20"/>
          <w:szCs w:val="20"/>
          <w:lang w:val="en-US"/>
        </w:rPr>
        <w:t xml:space="preserve"> </w:t>
      </w:r>
      <w:r w:rsidRPr="00AC0CF3">
        <w:rPr>
          <w:rStyle w:val="a9"/>
          <w:sz w:val="20"/>
          <w:szCs w:val="20"/>
          <w:lang w:val="en-US"/>
        </w:rPr>
        <w:t>2612</w:t>
      </w:r>
      <w:r w:rsidRPr="00AC0CF3">
        <w:rPr>
          <w:sz w:val="20"/>
          <w:szCs w:val="20"/>
          <w:lang w:val="en-US"/>
        </w:rPr>
        <w:t>, 050014 (2023). doi:10.1063/5.0117785.</w:t>
      </w:r>
    </w:p>
    <w:p w14:paraId="7656B8D8" w14:textId="47AAA013" w:rsidR="00AC0CF3" w:rsidRPr="00AC0CF3" w:rsidRDefault="00AC0CF3" w:rsidP="00043F8C">
      <w:pPr>
        <w:pStyle w:val="ae"/>
        <w:numPr>
          <w:ilvl w:val="0"/>
          <w:numId w:val="3"/>
        </w:numPr>
        <w:spacing w:before="0" w:beforeAutospacing="0" w:after="0" w:afterAutospacing="0"/>
        <w:ind w:left="425" w:hanging="425"/>
        <w:jc w:val="both"/>
        <w:rPr>
          <w:sz w:val="20"/>
          <w:szCs w:val="20"/>
          <w:lang w:val="en-US"/>
        </w:rPr>
      </w:pPr>
      <w:r w:rsidRPr="00AC0CF3">
        <w:rPr>
          <w:sz w:val="20"/>
          <w:szCs w:val="20"/>
          <w:lang w:val="en-US"/>
        </w:rPr>
        <w:t xml:space="preserve">H. B. Sun, C. Wang, C. B. </w:t>
      </w:r>
      <w:proofErr w:type="spellStart"/>
      <w:r w:rsidRPr="00AC0CF3">
        <w:rPr>
          <w:sz w:val="20"/>
          <w:szCs w:val="20"/>
          <w:lang w:val="en-US"/>
        </w:rPr>
        <w:t>Zong</w:t>
      </w:r>
      <w:proofErr w:type="spellEnd"/>
      <w:r w:rsidRPr="00AC0CF3">
        <w:rPr>
          <w:sz w:val="20"/>
          <w:szCs w:val="20"/>
          <w:lang w:val="en-US"/>
        </w:rPr>
        <w:t xml:space="preserve">, and J. H. Wang, </w:t>
      </w:r>
      <w:r w:rsidRPr="00AC0CF3">
        <w:rPr>
          <w:rStyle w:val="af1"/>
          <w:sz w:val="20"/>
          <w:szCs w:val="20"/>
          <w:lang w:val="en-US"/>
        </w:rPr>
        <w:t>High-frequency loss analysis and related magnetic properties of Fe-based amorphous soft magnetic composites with different granularity matches</w:t>
      </w:r>
      <w:r w:rsidRPr="00AC0CF3">
        <w:rPr>
          <w:sz w:val="20"/>
          <w:szCs w:val="20"/>
          <w:lang w:val="en-US"/>
        </w:rPr>
        <w:t xml:space="preserve">, </w:t>
      </w:r>
      <w:r w:rsidRPr="00AC0CF3">
        <w:rPr>
          <w:rStyle w:val="af1"/>
          <w:sz w:val="20"/>
          <w:szCs w:val="20"/>
          <w:lang w:val="en-US"/>
        </w:rPr>
        <w:t>J. Appl. Phys.</w:t>
      </w:r>
      <w:r w:rsidRPr="00AC0CF3">
        <w:rPr>
          <w:sz w:val="20"/>
          <w:szCs w:val="20"/>
          <w:lang w:val="en-US"/>
        </w:rPr>
        <w:t xml:space="preserve"> </w:t>
      </w:r>
      <w:r w:rsidRPr="00AC0CF3">
        <w:rPr>
          <w:rStyle w:val="a9"/>
          <w:sz w:val="20"/>
          <w:szCs w:val="20"/>
          <w:lang w:val="en-US"/>
        </w:rPr>
        <w:t>131</w:t>
      </w:r>
      <w:r w:rsidRPr="00AC0CF3">
        <w:rPr>
          <w:sz w:val="20"/>
          <w:szCs w:val="20"/>
          <w:lang w:val="en-US"/>
        </w:rPr>
        <w:t>, 193903 (2022). doi:10.1063/5.0085982.</w:t>
      </w:r>
    </w:p>
    <w:p w14:paraId="77FE1FF7" w14:textId="77CBDDD4" w:rsidR="00AC0CF3" w:rsidRPr="00AC0CF3" w:rsidRDefault="00AC0CF3" w:rsidP="00043F8C">
      <w:pPr>
        <w:pStyle w:val="ae"/>
        <w:numPr>
          <w:ilvl w:val="0"/>
          <w:numId w:val="3"/>
        </w:numPr>
        <w:spacing w:before="0" w:beforeAutospacing="0" w:after="0" w:afterAutospacing="0"/>
        <w:ind w:left="425" w:hanging="425"/>
        <w:jc w:val="both"/>
        <w:rPr>
          <w:sz w:val="20"/>
          <w:szCs w:val="20"/>
          <w:lang w:val="en-US"/>
        </w:rPr>
      </w:pPr>
      <w:r w:rsidRPr="00AC0CF3">
        <w:rPr>
          <w:sz w:val="20"/>
          <w:szCs w:val="20"/>
          <w:lang w:val="en-US"/>
        </w:rPr>
        <w:t xml:space="preserve">P. A. Polyakov, et al., </w:t>
      </w:r>
      <w:r w:rsidRPr="00AC0CF3">
        <w:rPr>
          <w:rStyle w:val="af1"/>
          <w:sz w:val="20"/>
          <w:szCs w:val="20"/>
          <w:lang w:val="en-US"/>
        </w:rPr>
        <w:t>Influence of sintering on the strength of iron-based powder compositions</w:t>
      </w:r>
      <w:r w:rsidRPr="00AC0CF3">
        <w:rPr>
          <w:sz w:val="20"/>
          <w:szCs w:val="20"/>
          <w:lang w:val="en-US"/>
        </w:rPr>
        <w:t xml:space="preserve">, </w:t>
      </w:r>
      <w:r w:rsidRPr="00AC0CF3">
        <w:rPr>
          <w:rStyle w:val="af1"/>
          <w:sz w:val="20"/>
          <w:szCs w:val="20"/>
          <w:lang w:val="en-US"/>
        </w:rPr>
        <w:t>Diagnostics, Resource and Mechanics of Materials and Structures</w:t>
      </w:r>
      <w:r w:rsidRPr="00AC0CF3">
        <w:rPr>
          <w:sz w:val="20"/>
          <w:szCs w:val="20"/>
          <w:lang w:val="en-US"/>
        </w:rPr>
        <w:t xml:space="preserve"> </w:t>
      </w:r>
      <w:r w:rsidRPr="00AC0CF3">
        <w:rPr>
          <w:rStyle w:val="a9"/>
          <w:sz w:val="20"/>
          <w:szCs w:val="20"/>
          <w:lang w:val="en-US"/>
        </w:rPr>
        <w:t>1</w:t>
      </w:r>
      <w:r w:rsidRPr="00AC0CF3">
        <w:rPr>
          <w:sz w:val="20"/>
          <w:szCs w:val="20"/>
          <w:lang w:val="en-US"/>
        </w:rPr>
        <w:t>, 13–23 (2017).</w:t>
      </w:r>
    </w:p>
    <w:p w14:paraId="6B1D3D57" w14:textId="630A018E" w:rsidR="00AC0CF3" w:rsidRPr="00AC0CF3" w:rsidRDefault="00AC0CF3" w:rsidP="00043F8C">
      <w:pPr>
        <w:pStyle w:val="ae"/>
        <w:numPr>
          <w:ilvl w:val="0"/>
          <w:numId w:val="3"/>
        </w:numPr>
        <w:spacing w:before="0" w:beforeAutospacing="0" w:after="0" w:afterAutospacing="0"/>
        <w:ind w:left="425" w:hanging="425"/>
        <w:jc w:val="both"/>
        <w:rPr>
          <w:sz w:val="20"/>
          <w:szCs w:val="20"/>
          <w:lang w:val="en-US"/>
        </w:rPr>
      </w:pPr>
      <w:r w:rsidRPr="00AC0CF3">
        <w:rPr>
          <w:sz w:val="20"/>
          <w:szCs w:val="20"/>
          <w:lang w:val="en-US"/>
        </w:rPr>
        <w:t xml:space="preserve">C. Gelinas, P. </w:t>
      </w:r>
      <w:proofErr w:type="spellStart"/>
      <w:r w:rsidRPr="00AC0CF3">
        <w:rPr>
          <w:sz w:val="20"/>
          <w:szCs w:val="20"/>
          <w:lang w:val="en-US"/>
        </w:rPr>
        <w:t>Viarouge</w:t>
      </w:r>
      <w:proofErr w:type="spellEnd"/>
      <w:r w:rsidRPr="00AC0CF3">
        <w:rPr>
          <w:sz w:val="20"/>
          <w:szCs w:val="20"/>
          <w:lang w:val="en-US"/>
        </w:rPr>
        <w:t xml:space="preserve">, and J. Cros, </w:t>
      </w:r>
      <w:r w:rsidRPr="00AC0CF3">
        <w:rPr>
          <w:rStyle w:val="af1"/>
          <w:sz w:val="20"/>
          <w:szCs w:val="20"/>
          <w:lang w:val="en-US"/>
        </w:rPr>
        <w:t>Use of soft magnetic composite materials in industrial application</w:t>
      </w:r>
      <w:r w:rsidRPr="00AC0CF3">
        <w:rPr>
          <w:sz w:val="20"/>
          <w:szCs w:val="20"/>
          <w:lang w:val="en-US"/>
        </w:rPr>
        <w:t xml:space="preserve">, in </w:t>
      </w:r>
      <w:r w:rsidRPr="00AC0CF3">
        <w:rPr>
          <w:rStyle w:val="af1"/>
          <w:sz w:val="20"/>
          <w:szCs w:val="20"/>
          <w:lang w:val="en-US"/>
        </w:rPr>
        <w:t>Euro PM 2004</w:t>
      </w:r>
      <w:r w:rsidRPr="00AC0CF3">
        <w:rPr>
          <w:sz w:val="20"/>
          <w:szCs w:val="20"/>
          <w:lang w:val="en-US"/>
        </w:rPr>
        <w:t xml:space="preserve"> (Quebec Metal Powders Limited, Quebec, 2004), pp. 605–610. Available at: </w:t>
      </w:r>
      <w:hyperlink r:id="rId17" w:tgtFrame="_new" w:history="1">
        <w:r w:rsidRPr="00AC0CF3">
          <w:rPr>
            <w:rStyle w:val="ab"/>
            <w:rFonts w:eastAsiaTheme="majorEastAsia"/>
            <w:sz w:val="20"/>
            <w:szCs w:val="20"/>
            <w:lang w:val="en-US"/>
          </w:rPr>
          <w:t>http://qmp.openface.ca/rtecontent/document/CG_V2004.pdf</w:t>
        </w:r>
      </w:hyperlink>
      <w:r w:rsidRPr="00AC0CF3">
        <w:rPr>
          <w:sz w:val="20"/>
          <w:szCs w:val="20"/>
          <w:lang w:val="en-US"/>
        </w:rPr>
        <w:t xml:space="preserve"> (accessed 15 March 2020).</w:t>
      </w:r>
    </w:p>
    <w:p w14:paraId="5BC72120" w14:textId="11EA8206" w:rsidR="00AC0CF3" w:rsidRPr="00AC0CF3" w:rsidRDefault="00AC0CF3" w:rsidP="00043F8C">
      <w:pPr>
        <w:pStyle w:val="ae"/>
        <w:numPr>
          <w:ilvl w:val="0"/>
          <w:numId w:val="3"/>
        </w:numPr>
        <w:spacing w:before="0" w:beforeAutospacing="0" w:after="0" w:afterAutospacing="0"/>
        <w:ind w:left="425" w:hanging="425"/>
        <w:jc w:val="both"/>
        <w:rPr>
          <w:sz w:val="20"/>
          <w:szCs w:val="20"/>
          <w:lang w:val="en-US"/>
        </w:rPr>
      </w:pPr>
      <w:r w:rsidRPr="00AC0CF3">
        <w:rPr>
          <w:sz w:val="20"/>
          <w:szCs w:val="20"/>
          <w:lang w:val="en-US"/>
        </w:rPr>
        <w:t xml:space="preserve">T. </w:t>
      </w:r>
      <w:proofErr w:type="spellStart"/>
      <w:r w:rsidRPr="00AC0CF3">
        <w:rPr>
          <w:sz w:val="20"/>
          <w:szCs w:val="20"/>
          <w:lang w:val="en-US"/>
        </w:rPr>
        <w:t>Gheiratmand</w:t>
      </w:r>
      <w:proofErr w:type="spellEnd"/>
      <w:r w:rsidRPr="00AC0CF3">
        <w:rPr>
          <w:sz w:val="20"/>
          <w:szCs w:val="20"/>
          <w:lang w:val="en-US"/>
        </w:rPr>
        <w:t xml:space="preserve">, et al., </w:t>
      </w:r>
      <w:r w:rsidRPr="00AC0CF3">
        <w:rPr>
          <w:rStyle w:val="af1"/>
          <w:sz w:val="20"/>
          <w:szCs w:val="20"/>
          <w:lang w:val="en-US"/>
        </w:rPr>
        <w:t>Iron-borosilicate soft magnetic composites: The correlation between processing parameters and magnetic properties for high frequency applications</w:t>
      </w:r>
      <w:r w:rsidRPr="00AC0CF3">
        <w:rPr>
          <w:sz w:val="20"/>
          <w:szCs w:val="20"/>
          <w:lang w:val="en-US"/>
        </w:rPr>
        <w:t xml:space="preserve">, </w:t>
      </w:r>
      <w:r w:rsidRPr="00AC0CF3">
        <w:rPr>
          <w:rStyle w:val="af1"/>
          <w:sz w:val="20"/>
          <w:szCs w:val="20"/>
          <w:lang w:val="en-US"/>
        </w:rPr>
        <w:t xml:space="preserve">J. </w:t>
      </w:r>
      <w:proofErr w:type="spellStart"/>
      <w:r w:rsidRPr="00AC0CF3">
        <w:rPr>
          <w:rStyle w:val="af1"/>
          <w:sz w:val="20"/>
          <w:szCs w:val="20"/>
          <w:lang w:val="en-US"/>
        </w:rPr>
        <w:t>Magn</w:t>
      </w:r>
      <w:proofErr w:type="spellEnd"/>
      <w:r w:rsidRPr="00AC0CF3">
        <w:rPr>
          <w:rStyle w:val="af1"/>
          <w:sz w:val="20"/>
          <w:szCs w:val="20"/>
          <w:lang w:val="en-US"/>
        </w:rPr>
        <w:t xml:space="preserve">. </w:t>
      </w:r>
      <w:proofErr w:type="spellStart"/>
      <w:r w:rsidRPr="00AC0CF3">
        <w:rPr>
          <w:rStyle w:val="af1"/>
          <w:sz w:val="20"/>
          <w:szCs w:val="20"/>
          <w:lang w:val="en-US"/>
        </w:rPr>
        <w:t>Magn</w:t>
      </w:r>
      <w:proofErr w:type="spellEnd"/>
      <w:r w:rsidRPr="00AC0CF3">
        <w:rPr>
          <w:rStyle w:val="af1"/>
          <w:sz w:val="20"/>
          <w:szCs w:val="20"/>
          <w:lang w:val="en-US"/>
        </w:rPr>
        <w:t>. Mater.</w:t>
      </w:r>
      <w:r w:rsidRPr="00AC0CF3">
        <w:rPr>
          <w:sz w:val="20"/>
          <w:szCs w:val="20"/>
          <w:lang w:val="en-US"/>
        </w:rPr>
        <w:t xml:space="preserve"> </w:t>
      </w:r>
      <w:r w:rsidRPr="00AC0CF3">
        <w:rPr>
          <w:rStyle w:val="a9"/>
          <w:sz w:val="20"/>
          <w:szCs w:val="20"/>
          <w:lang w:val="en-US"/>
        </w:rPr>
        <w:t>429</w:t>
      </w:r>
      <w:r w:rsidRPr="00AC0CF3">
        <w:rPr>
          <w:sz w:val="20"/>
          <w:szCs w:val="20"/>
          <w:lang w:val="en-US"/>
        </w:rPr>
        <w:t xml:space="preserve">, 241–250 (2017). </w:t>
      </w:r>
      <w:proofErr w:type="gramStart"/>
      <w:r w:rsidRPr="00AC0CF3">
        <w:rPr>
          <w:sz w:val="20"/>
          <w:szCs w:val="20"/>
          <w:lang w:val="en-US"/>
        </w:rPr>
        <w:t>doi:10.1016/j.jmmm</w:t>
      </w:r>
      <w:proofErr w:type="gramEnd"/>
      <w:r w:rsidRPr="00AC0CF3">
        <w:rPr>
          <w:sz w:val="20"/>
          <w:szCs w:val="20"/>
          <w:lang w:val="en-US"/>
        </w:rPr>
        <w:t>.2016.11.037.</w:t>
      </w:r>
    </w:p>
    <w:p w14:paraId="014E9F79" w14:textId="6C8AE70F" w:rsidR="00AC0CF3" w:rsidRPr="00AC0CF3" w:rsidRDefault="00AC0CF3" w:rsidP="00043F8C">
      <w:pPr>
        <w:pStyle w:val="ae"/>
        <w:numPr>
          <w:ilvl w:val="0"/>
          <w:numId w:val="3"/>
        </w:numPr>
        <w:spacing w:before="0" w:beforeAutospacing="0" w:after="0" w:afterAutospacing="0"/>
        <w:ind w:left="425" w:hanging="425"/>
        <w:jc w:val="both"/>
        <w:rPr>
          <w:sz w:val="20"/>
          <w:szCs w:val="20"/>
          <w:lang w:val="en-US"/>
        </w:rPr>
      </w:pPr>
      <w:r w:rsidRPr="00AC0CF3">
        <w:rPr>
          <w:sz w:val="20"/>
          <w:szCs w:val="20"/>
          <w:lang w:val="en-US"/>
        </w:rPr>
        <w:t xml:space="preserve">A. </w:t>
      </w:r>
      <w:proofErr w:type="spellStart"/>
      <w:r w:rsidRPr="00AC0CF3">
        <w:rPr>
          <w:sz w:val="20"/>
          <w:szCs w:val="20"/>
          <w:lang w:val="en-US"/>
        </w:rPr>
        <w:t>Vetcher</w:t>
      </w:r>
      <w:proofErr w:type="spellEnd"/>
      <w:r w:rsidRPr="00AC0CF3">
        <w:rPr>
          <w:sz w:val="20"/>
          <w:szCs w:val="20"/>
          <w:lang w:val="en-US"/>
        </w:rPr>
        <w:t xml:space="preserve">, G. </w:t>
      </w:r>
      <w:proofErr w:type="spellStart"/>
      <w:r w:rsidRPr="00AC0CF3">
        <w:rPr>
          <w:sz w:val="20"/>
          <w:szCs w:val="20"/>
          <w:lang w:val="en-US"/>
        </w:rPr>
        <w:t>Govor</w:t>
      </w:r>
      <w:proofErr w:type="spellEnd"/>
      <w:r w:rsidRPr="00AC0CF3">
        <w:rPr>
          <w:sz w:val="20"/>
          <w:szCs w:val="20"/>
          <w:lang w:val="en-US"/>
        </w:rPr>
        <w:t xml:space="preserve">, O. Demidenko, A. M. Popescu, V. Constantin, and U. </w:t>
      </w:r>
      <w:proofErr w:type="spellStart"/>
      <w:r w:rsidRPr="00AC0CF3">
        <w:rPr>
          <w:sz w:val="20"/>
          <w:szCs w:val="20"/>
          <w:lang w:val="en-US"/>
        </w:rPr>
        <w:t>Berdiev</w:t>
      </w:r>
      <w:proofErr w:type="spellEnd"/>
      <w:r w:rsidRPr="00AC0CF3">
        <w:rPr>
          <w:sz w:val="20"/>
          <w:szCs w:val="20"/>
          <w:lang w:val="en-US"/>
        </w:rPr>
        <w:t xml:space="preserve">, </w:t>
      </w:r>
      <w:r w:rsidRPr="00AC0CF3">
        <w:rPr>
          <w:rStyle w:val="af1"/>
          <w:sz w:val="20"/>
          <w:szCs w:val="20"/>
          <w:lang w:val="en-US"/>
        </w:rPr>
        <w:t>A composite magnetic material with insulating anticorrosive coatings</w:t>
      </w:r>
      <w:r w:rsidRPr="00AC0CF3">
        <w:rPr>
          <w:sz w:val="20"/>
          <w:szCs w:val="20"/>
          <w:lang w:val="en-US"/>
        </w:rPr>
        <w:t xml:space="preserve">, in </w:t>
      </w:r>
      <w:r w:rsidRPr="00AC0CF3">
        <w:rPr>
          <w:rStyle w:val="af1"/>
          <w:sz w:val="20"/>
          <w:szCs w:val="20"/>
          <w:lang w:val="en-US"/>
        </w:rPr>
        <w:t>VI International Scientific Conference “Nonequilibrium Phase Transformations”</w:t>
      </w:r>
      <w:r w:rsidRPr="00AC0CF3">
        <w:rPr>
          <w:sz w:val="20"/>
          <w:szCs w:val="20"/>
          <w:lang w:val="en-US"/>
        </w:rPr>
        <w:t xml:space="preserve"> (Varna, Bulgaria, 7–10 September 2020).</w:t>
      </w:r>
    </w:p>
    <w:p w14:paraId="40488613" w14:textId="27CF2436" w:rsidR="00AC0CF3" w:rsidRPr="00AC0CF3" w:rsidRDefault="00AC0CF3" w:rsidP="00043F8C">
      <w:pPr>
        <w:pStyle w:val="ae"/>
        <w:numPr>
          <w:ilvl w:val="0"/>
          <w:numId w:val="3"/>
        </w:numPr>
        <w:spacing w:before="0" w:beforeAutospacing="0" w:after="0" w:afterAutospacing="0"/>
        <w:ind w:left="425" w:hanging="425"/>
        <w:jc w:val="both"/>
        <w:rPr>
          <w:sz w:val="20"/>
          <w:szCs w:val="20"/>
          <w:lang w:val="en-US"/>
        </w:rPr>
      </w:pPr>
      <w:r w:rsidRPr="00AC0CF3">
        <w:rPr>
          <w:sz w:val="20"/>
          <w:szCs w:val="20"/>
          <w:lang w:val="en-US"/>
        </w:rPr>
        <w:t xml:space="preserve">U. T. </w:t>
      </w:r>
      <w:proofErr w:type="spellStart"/>
      <w:r w:rsidRPr="00AC0CF3">
        <w:rPr>
          <w:sz w:val="20"/>
          <w:szCs w:val="20"/>
          <w:lang w:val="en-US"/>
        </w:rPr>
        <w:t>Berdiev</w:t>
      </w:r>
      <w:proofErr w:type="spellEnd"/>
      <w:r w:rsidRPr="00AC0CF3">
        <w:rPr>
          <w:sz w:val="20"/>
          <w:szCs w:val="20"/>
          <w:lang w:val="en-US"/>
        </w:rPr>
        <w:t xml:space="preserve">, G. A. </w:t>
      </w:r>
      <w:proofErr w:type="spellStart"/>
      <w:r w:rsidRPr="00AC0CF3">
        <w:rPr>
          <w:sz w:val="20"/>
          <w:szCs w:val="20"/>
          <w:lang w:val="en-US"/>
        </w:rPr>
        <w:t>Govor</w:t>
      </w:r>
      <w:proofErr w:type="spellEnd"/>
      <w:r w:rsidRPr="00AC0CF3">
        <w:rPr>
          <w:sz w:val="20"/>
          <w:szCs w:val="20"/>
          <w:lang w:val="en-US"/>
        </w:rPr>
        <w:t xml:space="preserve">, A. K. </w:t>
      </w:r>
      <w:proofErr w:type="spellStart"/>
      <w:r w:rsidRPr="00AC0CF3">
        <w:rPr>
          <w:sz w:val="20"/>
          <w:szCs w:val="20"/>
          <w:lang w:val="en-US"/>
        </w:rPr>
        <w:t>Vecher</w:t>
      </w:r>
      <w:proofErr w:type="spellEnd"/>
      <w:r w:rsidRPr="00AC0CF3">
        <w:rPr>
          <w:sz w:val="20"/>
          <w:szCs w:val="20"/>
          <w:lang w:val="en-US"/>
        </w:rPr>
        <w:t xml:space="preserve">, N. B. </w:t>
      </w:r>
      <w:proofErr w:type="spellStart"/>
      <w:r w:rsidRPr="00AC0CF3">
        <w:rPr>
          <w:sz w:val="20"/>
          <w:szCs w:val="20"/>
          <w:lang w:val="en-US"/>
        </w:rPr>
        <w:t>Pirmatov</w:t>
      </w:r>
      <w:proofErr w:type="spellEnd"/>
      <w:r w:rsidRPr="00AC0CF3">
        <w:rPr>
          <w:sz w:val="20"/>
          <w:szCs w:val="20"/>
          <w:lang w:val="en-US"/>
        </w:rPr>
        <w:t xml:space="preserve">, F. F. </w:t>
      </w:r>
      <w:proofErr w:type="spellStart"/>
      <w:r w:rsidRPr="00AC0CF3">
        <w:rPr>
          <w:sz w:val="20"/>
          <w:szCs w:val="20"/>
          <w:lang w:val="en-US"/>
        </w:rPr>
        <w:t>Khasanov</w:t>
      </w:r>
      <w:proofErr w:type="spellEnd"/>
      <w:r w:rsidRPr="00AC0CF3">
        <w:rPr>
          <w:sz w:val="20"/>
          <w:szCs w:val="20"/>
          <w:lang w:val="en-US"/>
        </w:rPr>
        <w:t xml:space="preserve">, and A. </w:t>
      </w:r>
      <w:proofErr w:type="spellStart"/>
      <w:r w:rsidRPr="00AC0CF3">
        <w:rPr>
          <w:sz w:val="20"/>
          <w:szCs w:val="20"/>
          <w:lang w:val="en-US"/>
        </w:rPr>
        <w:t>Karabaev</w:t>
      </w:r>
      <w:proofErr w:type="spellEnd"/>
      <w:r w:rsidRPr="00AC0CF3">
        <w:rPr>
          <w:sz w:val="20"/>
          <w:szCs w:val="20"/>
          <w:lang w:val="en-US"/>
        </w:rPr>
        <w:t xml:space="preserve">, </w:t>
      </w:r>
      <w:r w:rsidRPr="00AC0CF3">
        <w:rPr>
          <w:rStyle w:val="af1"/>
          <w:sz w:val="20"/>
          <w:szCs w:val="20"/>
          <w:lang w:val="en-US"/>
        </w:rPr>
        <w:t>Soft magnetic materials based on iron used in electrical machine building</w:t>
      </w:r>
      <w:r w:rsidRPr="00AC0CF3">
        <w:rPr>
          <w:sz w:val="20"/>
          <w:szCs w:val="20"/>
          <w:lang w:val="en-US"/>
        </w:rPr>
        <w:t xml:space="preserve">, </w:t>
      </w:r>
      <w:r w:rsidRPr="00AC0CF3">
        <w:rPr>
          <w:rStyle w:val="af1"/>
          <w:sz w:val="20"/>
          <w:szCs w:val="20"/>
          <w:lang w:val="en-US"/>
        </w:rPr>
        <w:t>Bulletin of Tashkent Institute of Railway Engineers</w:t>
      </w:r>
      <w:r w:rsidRPr="00AC0CF3">
        <w:rPr>
          <w:sz w:val="20"/>
          <w:szCs w:val="20"/>
          <w:lang w:val="en-US"/>
        </w:rPr>
        <w:t xml:space="preserve"> </w:t>
      </w:r>
      <w:r w:rsidRPr="00AC0CF3">
        <w:rPr>
          <w:rStyle w:val="a9"/>
          <w:sz w:val="20"/>
          <w:szCs w:val="20"/>
          <w:lang w:val="en-US"/>
        </w:rPr>
        <w:t>3</w:t>
      </w:r>
      <w:r w:rsidRPr="00AC0CF3">
        <w:rPr>
          <w:sz w:val="20"/>
          <w:szCs w:val="20"/>
          <w:lang w:val="en-US"/>
        </w:rPr>
        <w:t>, 212–218 (2019).</w:t>
      </w:r>
    </w:p>
    <w:p w14:paraId="394C6BAF" w14:textId="50ACE589" w:rsidR="00AC0CF3" w:rsidRPr="00AC0CF3" w:rsidRDefault="00AC0CF3" w:rsidP="00043F8C">
      <w:pPr>
        <w:pStyle w:val="ae"/>
        <w:numPr>
          <w:ilvl w:val="0"/>
          <w:numId w:val="3"/>
        </w:numPr>
        <w:spacing w:before="0" w:beforeAutospacing="0" w:after="0" w:afterAutospacing="0"/>
        <w:ind w:left="425" w:hanging="425"/>
        <w:jc w:val="both"/>
        <w:rPr>
          <w:sz w:val="20"/>
          <w:szCs w:val="20"/>
          <w:lang w:val="en-US"/>
        </w:rPr>
      </w:pPr>
      <w:r w:rsidRPr="00AC0CF3">
        <w:rPr>
          <w:sz w:val="20"/>
          <w:szCs w:val="20"/>
          <w:lang w:val="en-US"/>
        </w:rPr>
        <w:t xml:space="preserve">A. V. </w:t>
      </w:r>
      <w:proofErr w:type="spellStart"/>
      <w:r w:rsidRPr="00AC0CF3">
        <w:rPr>
          <w:sz w:val="20"/>
          <w:szCs w:val="20"/>
          <w:lang w:val="en-US"/>
        </w:rPr>
        <w:t>Minitskii</w:t>
      </w:r>
      <w:proofErr w:type="spellEnd"/>
      <w:r w:rsidRPr="00AC0CF3">
        <w:rPr>
          <w:sz w:val="20"/>
          <w:szCs w:val="20"/>
          <w:lang w:val="en-US"/>
        </w:rPr>
        <w:t xml:space="preserve">, N. V. </w:t>
      </w:r>
      <w:proofErr w:type="spellStart"/>
      <w:r w:rsidRPr="00AC0CF3">
        <w:rPr>
          <w:sz w:val="20"/>
          <w:szCs w:val="20"/>
          <w:lang w:val="en-US"/>
        </w:rPr>
        <w:t>Minitskaya</w:t>
      </w:r>
      <w:proofErr w:type="spellEnd"/>
      <w:r w:rsidRPr="00AC0CF3">
        <w:rPr>
          <w:sz w:val="20"/>
          <w:szCs w:val="20"/>
          <w:lang w:val="en-US"/>
        </w:rPr>
        <w:t xml:space="preserve">, and O. V. </w:t>
      </w:r>
      <w:proofErr w:type="spellStart"/>
      <w:r w:rsidRPr="00AC0CF3">
        <w:rPr>
          <w:sz w:val="20"/>
          <w:szCs w:val="20"/>
          <w:lang w:val="en-US"/>
        </w:rPr>
        <w:t>Vlasova</w:t>
      </w:r>
      <w:proofErr w:type="spellEnd"/>
      <w:r w:rsidRPr="00AC0CF3">
        <w:rPr>
          <w:sz w:val="20"/>
          <w:szCs w:val="20"/>
          <w:lang w:val="en-US"/>
        </w:rPr>
        <w:t xml:space="preserve">, </w:t>
      </w:r>
      <w:r w:rsidRPr="00AC0CF3">
        <w:rPr>
          <w:rStyle w:val="af1"/>
          <w:sz w:val="20"/>
          <w:szCs w:val="20"/>
          <w:lang w:val="en-US"/>
        </w:rPr>
        <w:t>Main trends in the development of powder soft magnetic materials</w:t>
      </w:r>
      <w:r w:rsidRPr="00AC0CF3">
        <w:rPr>
          <w:sz w:val="20"/>
          <w:szCs w:val="20"/>
          <w:lang w:val="en-US"/>
        </w:rPr>
        <w:t xml:space="preserve">, </w:t>
      </w:r>
      <w:r w:rsidRPr="00AC0CF3">
        <w:rPr>
          <w:rStyle w:val="af1"/>
          <w:sz w:val="20"/>
          <w:szCs w:val="20"/>
          <w:lang w:val="en-US"/>
        </w:rPr>
        <w:t>Processes of Mechanical Processing in Mechanical Engineering</w:t>
      </w:r>
      <w:r w:rsidRPr="00AC0CF3">
        <w:rPr>
          <w:sz w:val="20"/>
          <w:szCs w:val="20"/>
          <w:lang w:val="en-US"/>
        </w:rPr>
        <w:t xml:space="preserve"> </w:t>
      </w:r>
      <w:r w:rsidRPr="00AC0CF3">
        <w:rPr>
          <w:rStyle w:val="a9"/>
          <w:sz w:val="20"/>
          <w:szCs w:val="20"/>
          <w:lang w:val="en-US"/>
        </w:rPr>
        <w:t>9</w:t>
      </w:r>
      <w:r w:rsidRPr="00AC0CF3">
        <w:rPr>
          <w:sz w:val="20"/>
          <w:szCs w:val="20"/>
          <w:lang w:val="en-US"/>
        </w:rPr>
        <w:t>, 3–16 (2010).</w:t>
      </w:r>
    </w:p>
    <w:p w14:paraId="43CBE347" w14:textId="13EEA246" w:rsidR="00AC0CF3" w:rsidRPr="00AC0CF3" w:rsidRDefault="00AC0CF3" w:rsidP="00043F8C">
      <w:pPr>
        <w:pStyle w:val="ae"/>
        <w:numPr>
          <w:ilvl w:val="0"/>
          <w:numId w:val="3"/>
        </w:numPr>
        <w:spacing w:before="0" w:beforeAutospacing="0" w:after="0" w:afterAutospacing="0"/>
        <w:ind w:left="425" w:hanging="425"/>
        <w:jc w:val="both"/>
        <w:rPr>
          <w:sz w:val="20"/>
          <w:szCs w:val="20"/>
          <w:lang w:val="en-US"/>
        </w:rPr>
      </w:pPr>
      <w:r w:rsidRPr="00AC0CF3">
        <w:rPr>
          <w:sz w:val="20"/>
          <w:szCs w:val="20"/>
          <w:lang w:val="en-US"/>
        </w:rPr>
        <w:t xml:space="preserve">C. </w:t>
      </w:r>
      <w:proofErr w:type="spellStart"/>
      <w:r w:rsidRPr="00AC0CF3">
        <w:rPr>
          <w:sz w:val="20"/>
          <w:szCs w:val="20"/>
          <w:lang w:val="en-US"/>
        </w:rPr>
        <w:t>Chih</w:t>
      </w:r>
      <w:proofErr w:type="spellEnd"/>
      <w:r w:rsidRPr="00AC0CF3">
        <w:rPr>
          <w:sz w:val="20"/>
          <w:szCs w:val="20"/>
          <w:lang w:val="en-US"/>
        </w:rPr>
        <w:t xml:space="preserve">-Wen, </w:t>
      </w:r>
      <w:r w:rsidRPr="00AC0CF3">
        <w:rPr>
          <w:rStyle w:val="af1"/>
          <w:sz w:val="20"/>
          <w:szCs w:val="20"/>
          <w:lang w:val="en-US"/>
        </w:rPr>
        <w:t>Magnetism and Metallurgy of Soft Magnetic Materials</w:t>
      </w:r>
      <w:r w:rsidRPr="00AC0CF3">
        <w:rPr>
          <w:sz w:val="20"/>
          <w:szCs w:val="20"/>
          <w:lang w:val="en-US"/>
        </w:rPr>
        <w:t xml:space="preserve"> (Courier Corporation, 2013), 592 p.</w:t>
      </w:r>
    </w:p>
    <w:p w14:paraId="7FDAF84D" w14:textId="44D40151" w:rsidR="00AC0CF3" w:rsidRPr="00AC0CF3" w:rsidRDefault="00AC0CF3" w:rsidP="00043F8C">
      <w:pPr>
        <w:pStyle w:val="ae"/>
        <w:numPr>
          <w:ilvl w:val="0"/>
          <w:numId w:val="3"/>
        </w:numPr>
        <w:spacing w:before="0" w:beforeAutospacing="0" w:after="0" w:afterAutospacing="0"/>
        <w:ind w:left="425" w:hanging="425"/>
        <w:jc w:val="both"/>
        <w:rPr>
          <w:sz w:val="20"/>
          <w:szCs w:val="20"/>
          <w:lang w:val="en-US"/>
        </w:rPr>
      </w:pPr>
      <w:r w:rsidRPr="00AC0CF3">
        <w:rPr>
          <w:sz w:val="20"/>
          <w:szCs w:val="20"/>
          <w:lang w:val="en-US"/>
        </w:rPr>
        <w:t xml:space="preserve">U. </w:t>
      </w:r>
      <w:proofErr w:type="spellStart"/>
      <w:r w:rsidRPr="00AC0CF3">
        <w:rPr>
          <w:sz w:val="20"/>
          <w:szCs w:val="20"/>
          <w:lang w:val="en-US"/>
        </w:rPr>
        <w:t>Sulaymonov</w:t>
      </w:r>
      <w:proofErr w:type="spellEnd"/>
      <w:r w:rsidRPr="00AC0CF3">
        <w:rPr>
          <w:sz w:val="20"/>
          <w:szCs w:val="20"/>
          <w:lang w:val="en-US"/>
        </w:rPr>
        <w:t xml:space="preserve">, A. </w:t>
      </w:r>
      <w:proofErr w:type="spellStart"/>
      <w:r w:rsidRPr="00AC0CF3">
        <w:rPr>
          <w:sz w:val="20"/>
          <w:szCs w:val="20"/>
          <w:lang w:val="en-US"/>
        </w:rPr>
        <w:t>Jelutkevich</w:t>
      </w:r>
      <w:proofErr w:type="spellEnd"/>
      <w:r w:rsidRPr="00AC0CF3">
        <w:rPr>
          <w:sz w:val="20"/>
          <w:szCs w:val="20"/>
          <w:lang w:val="en-US"/>
        </w:rPr>
        <w:t xml:space="preserve">, M. </w:t>
      </w:r>
      <w:proofErr w:type="spellStart"/>
      <w:r w:rsidRPr="00AC0CF3">
        <w:rPr>
          <w:sz w:val="20"/>
          <w:szCs w:val="20"/>
          <w:lang w:val="en-US"/>
        </w:rPr>
        <w:t>Nabiyevna</w:t>
      </w:r>
      <w:proofErr w:type="spellEnd"/>
      <w:r w:rsidRPr="00AC0CF3">
        <w:rPr>
          <w:sz w:val="20"/>
          <w:szCs w:val="20"/>
          <w:lang w:val="en-US"/>
        </w:rPr>
        <w:t xml:space="preserve">, O. </w:t>
      </w:r>
      <w:proofErr w:type="spellStart"/>
      <w:r w:rsidRPr="00AC0CF3">
        <w:rPr>
          <w:sz w:val="20"/>
          <w:szCs w:val="20"/>
          <w:lang w:val="en-US"/>
        </w:rPr>
        <w:t>Sayfullayev</w:t>
      </w:r>
      <w:proofErr w:type="spellEnd"/>
      <w:r w:rsidRPr="00AC0CF3">
        <w:rPr>
          <w:sz w:val="20"/>
          <w:szCs w:val="20"/>
          <w:lang w:val="en-US"/>
        </w:rPr>
        <w:t xml:space="preserve">, and U. </w:t>
      </w:r>
      <w:proofErr w:type="spellStart"/>
      <w:r w:rsidRPr="00AC0CF3">
        <w:rPr>
          <w:sz w:val="20"/>
          <w:szCs w:val="20"/>
          <w:lang w:val="en-US"/>
        </w:rPr>
        <w:t>Berdiyorov</w:t>
      </w:r>
      <w:proofErr w:type="spellEnd"/>
      <w:r w:rsidRPr="00AC0CF3">
        <w:rPr>
          <w:sz w:val="20"/>
          <w:szCs w:val="20"/>
          <w:lang w:val="en-US"/>
        </w:rPr>
        <w:t xml:space="preserve">, </w:t>
      </w:r>
      <w:r w:rsidRPr="00AC0CF3">
        <w:rPr>
          <w:rStyle w:val="af1"/>
          <w:sz w:val="20"/>
          <w:szCs w:val="20"/>
          <w:lang w:val="en-US"/>
        </w:rPr>
        <w:t>Research of energy-saving composite materials for electric motors</w:t>
      </w:r>
      <w:r w:rsidRPr="00AC0CF3">
        <w:rPr>
          <w:sz w:val="20"/>
          <w:szCs w:val="20"/>
          <w:lang w:val="en-US"/>
        </w:rPr>
        <w:t xml:space="preserve">, </w:t>
      </w:r>
      <w:r w:rsidRPr="00AC0CF3">
        <w:rPr>
          <w:rStyle w:val="af1"/>
          <w:sz w:val="20"/>
          <w:szCs w:val="20"/>
          <w:lang w:val="en-US"/>
        </w:rPr>
        <w:t>E3S Web Conf.</w:t>
      </w:r>
      <w:r w:rsidRPr="00AC0CF3">
        <w:rPr>
          <w:sz w:val="20"/>
          <w:szCs w:val="20"/>
          <w:lang w:val="en-US"/>
        </w:rPr>
        <w:t xml:space="preserve"> </w:t>
      </w:r>
      <w:r w:rsidRPr="00AC0CF3">
        <w:rPr>
          <w:rStyle w:val="a9"/>
          <w:sz w:val="20"/>
          <w:szCs w:val="20"/>
          <w:lang w:val="en-US"/>
        </w:rPr>
        <w:t>461</w:t>
      </w:r>
      <w:r w:rsidRPr="00AC0CF3">
        <w:rPr>
          <w:sz w:val="20"/>
          <w:szCs w:val="20"/>
          <w:lang w:val="en-US"/>
        </w:rPr>
        <w:t>, 01054 (2023). doi:10.1051/e3sconf/202346101054.</w:t>
      </w:r>
    </w:p>
    <w:p w14:paraId="0E749631" w14:textId="14434883" w:rsidR="00AC0CF3" w:rsidRPr="00AC0CF3" w:rsidRDefault="00AC0CF3" w:rsidP="00043F8C">
      <w:pPr>
        <w:pStyle w:val="ae"/>
        <w:numPr>
          <w:ilvl w:val="0"/>
          <w:numId w:val="3"/>
        </w:numPr>
        <w:spacing w:before="0" w:beforeAutospacing="0" w:after="0" w:afterAutospacing="0"/>
        <w:ind w:left="425" w:hanging="425"/>
        <w:jc w:val="both"/>
        <w:rPr>
          <w:sz w:val="20"/>
          <w:szCs w:val="20"/>
          <w:lang w:val="en-US"/>
        </w:rPr>
      </w:pPr>
      <w:r w:rsidRPr="00AC0CF3">
        <w:rPr>
          <w:sz w:val="20"/>
          <w:szCs w:val="20"/>
          <w:lang w:val="en-US"/>
        </w:rPr>
        <w:t xml:space="preserve">Z. L. Guo, J. H. Wang, W. H. Chen, D. C. Chen, H. B. Sun, Z. L. </w:t>
      </w:r>
      <w:proofErr w:type="spellStart"/>
      <w:r w:rsidRPr="00AC0CF3">
        <w:rPr>
          <w:sz w:val="20"/>
          <w:szCs w:val="20"/>
          <w:lang w:val="en-US"/>
        </w:rPr>
        <w:t>Xue</w:t>
      </w:r>
      <w:proofErr w:type="spellEnd"/>
      <w:r w:rsidRPr="00AC0CF3">
        <w:rPr>
          <w:sz w:val="20"/>
          <w:szCs w:val="20"/>
          <w:lang w:val="en-US"/>
        </w:rPr>
        <w:t xml:space="preserve">, and C. Wang, </w:t>
      </w:r>
      <w:r w:rsidRPr="00AC0CF3">
        <w:rPr>
          <w:rStyle w:val="af1"/>
          <w:sz w:val="20"/>
          <w:szCs w:val="20"/>
          <w:lang w:val="en-US"/>
        </w:rPr>
        <w:t xml:space="preserve">Crystal-like microstructural </w:t>
      </w:r>
      <w:proofErr w:type="spellStart"/>
      <w:r w:rsidRPr="00AC0CF3">
        <w:rPr>
          <w:rStyle w:val="af1"/>
          <w:sz w:val="20"/>
          <w:szCs w:val="20"/>
          <w:lang w:val="en-US"/>
        </w:rPr>
        <w:t>Finemet</w:t>
      </w:r>
      <w:proofErr w:type="spellEnd"/>
      <w:r w:rsidRPr="00AC0CF3">
        <w:rPr>
          <w:rStyle w:val="af1"/>
          <w:sz w:val="20"/>
          <w:szCs w:val="20"/>
          <w:lang w:val="en-US"/>
        </w:rPr>
        <w:t>/</w:t>
      </w:r>
      <w:proofErr w:type="spellStart"/>
      <w:r w:rsidRPr="00AC0CF3">
        <w:rPr>
          <w:rStyle w:val="af1"/>
          <w:sz w:val="20"/>
          <w:szCs w:val="20"/>
          <w:lang w:val="en-US"/>
        </w:rPr>
        <w:t>FeSi</w:t>
      </w:r>
      <w:proofErr w:type="spellEnd"/>
      <w:r w:rsidRPr="00AC0CF3">
        <w:rPr>
          <w:rStyle w:val="af1"/>
          <w:sz w:val="20"/>
          <w:szCs w:val="20"/>
          <w:lang w:val="en-US"/>
        </w:rPr>
        <w:t xml:space="preserve"> compound powder core with excellent soft magnetic properties and its loss separation analysis</w:t>
      </w:r>
      <w:r w:rsidRPr="00AC0CF3">
        <w:rPr>
          <w:sz w:val="20"/>
          <w:szCs w:val="20"/>
          <w:lang w:val="en-US"/>
        </w:rPr>
        <w:t xml:space="preserve">, </w:t>
      </w:r>
      <w:r w:rsidRPr="00AC0CF3">
        <w:rPr>
          <w:rStyle w:val="af1"/>
          <w:sz w:val="20"/>
          <w:szCs w:val="20"/>
          <w:lang w:val="en-US"/>
        </w:rPr>
        <w:t>Mater. Des.</w:t>
      </w:r>
      <w:r w:rsidRPr="00AC0CF3">
        <w:rPr>
          <w:sz w:val="20"/>
          <w:szCs w:val="20"/>
          <w:lang w:val="en-US"/>
        </w:rPr>
        <w:t xml:space="preserve"> </w:t>
      </w:r>
      <w:r w:rsidRPr="00AC0CF3">
        <w:rPr>
          <w:rStyle w:val="a9"/>
          <w:sz w:val="20"/>
          <w:szCs w:val="20"/>
          <w:lang w:val="en-US"/>
        </w:rPr>
        <w:t>192</w:t>
      </w:r>
      <w:r w:rsidRPr="00AC0CF3">
        <w:rPr>
          <w:sz w:val="20"/>
          <w:szCs w:val="20"/>
          <w:lang w:val="en-US"/>
        </w:rPr>
        <w:t xml:space="preserve">, 108769 (2020). </w:t>
      </w:r>
      <w:proofErr w:type="gramStart"/>
      <w:r w:rsidRPr="00AC0CF3">
        <w:rPr>
          <w:sz w:val="20"/>
          <w:szCs w:val="20"/>
          <w:lang w:val="en-US"/>
        </w:rPr>
        <w:t>doi:10.1016/j.matdes</w:t>
      </w:r>
      <w:proofErr w:type="gramEnd"/>
      <w:r w:rsidRPr="00AC0CF3">
        <w:rPr>
          <w:sz w:val="20"/>
          <w:szCs w:val="20"/>
          <w:lang w:val="en-US"/>
        </w:rPr>
        <w:t>.2020.108769.</w:t>
      </w:r>
    </w:p>
    <w:p w14:paraId="29B27ECA" w14:textId="74417306" w:rsidR="00AC0CF3" w:rsidRPr="00AC0CF3" w:rsidRDefault="00AC0CF3" w:rsidP="00043F8C">
      <w:pPr>
        <w:pStyle w:val="ae"/>
        <w:numPr>
          <w:ilvl w:val="0"/>
          <w:numId w:val="3"/>
        </w:numPr>
        <w:spacing w:before="0" w:beforeAutospacing="0" w:after="0" w:afterAutospacing="0"/>
        <w:ind w:left="425" w:hanging="425"/>
        <w:jc w:val="both"/>
        <w:rPr>
          <w:sz w:val="20"/>
          <w:szCs w:val="20"/>
          <w:lang w:val="en-US"/>
        </w:rPr>
      </w:pPr>
      <w:r w:rsidRPr="00AC0CF3">
        <w:rPr>
          <w:sz w:val="20"/>
          <w:szCs w:val="20"/>
          <w:lang w:val="en-US"/>
        </w:rPr>
        <w:t xml:space="preserve">R. Zhang, Y. L. Li, H. B. Sun, H. H. Huang, and J. H. Wang, </w:t>
      </w:r>
      <w:r w:rsidRPr="00AC0CF3">
        <w:rPr>
          <w:rStyle w:val="af1"/>
          <w:sz w:val="20"/>
          <w:szCs w:val="20"/>
          <w:lang w:val="en-US"/>
        </w:rPr>
        <w:t>Fe-based amorphous soft magnetic composites with excellent magnetic properties fabricated via low-pressure hot compacting</w:t>
      </w:r>
      <w:r w:rsidRPr="00AC0CF3">
        <w:rPr>
          <w:sz w:val="20"/>
          <w:szCs w:val="20"/>
          <w:lang w:val="en-US"/>
        </w:rPr>
        <w:t xml:space="preserve">, </w:t>
      </w:r>
      <w:r w:rsidRPr="00AC0CF3">
        <w:rPr>
          <w:rStyle w:val="af1"/>
          <w:sz w:val="20"/>
          <w:szCs w:val="20"/>
          <w:lang w:val="en-US"/>
        </w:rPr>
        <w:t>Ceram. Int.</w:t>
      </w:r>
      <w:r w:rsidRPr="00AC0CF3">
        <w:rPr>
          <w:sz w:val="20"/>
          <w:szCs w:val="20"/>
          <w:lang w:val="en-US"/>
        </w:rPr>
        <w:t xml:space="preserve"> </w:t>
      </w:r>
      <w:r w:rsidRPr="00AC0CF3">
        <w:rPr>
          <w:rStyle w:val="a9"/>
          <w:sz w:val="20"/>
          <w:szCs w:val="20"/>
          <w:lang w:val="en-US"/>
        </w:rPr>
        <w:t>50</w:t>
      </w:r>
      <w:r w:rsidRPr="00AC0CF3">
        <w:rPr>
          <w:sz w:val="20"/>
          <w:szCs w:val="20"/>
          <w:lang w:val="en-US"/>
        </w:rPr>
        <w:t xml:space="preserve">, 48508–48516 (2024). </w:t>
      </w:r>
      <w:proofErr w:type="gramStart"/>
      <w:r w:rsidRPr="00AC0CF3">
        <w:rPr>
          <w:sz w:val="20"/>
          <w:szCs w:val="20"/>
          <w:lang w:val="en-US"/>
        </w:rPr>
        <w:t>doi:10.1016/j.ceramint</w:t>
      </w:r>
      <w:proofErr w:type="gramEnd"/>
      <w:r w:rsidRPr="00AC0CF3">
        <w:rPr>
          <w:sz w:val="20"/>
          <w:szCs w:val="20"/>
          <w:lang w:val="en-US"/>
        </w:rPr>
        <w:t>.2024.01.058.</w:t>
      </w:r>
    </w:p>
    <w:p w14:paraId="3FB6CC92" w14:textId="0DE6982E" w:rsidR="00AC0CF3" w:rsidRPr="00AC0CF3" w:rsidRDefault="00AC0CF3" w:rsidP="00043F8C">
      <w:pPr>
        <w:pStyle w:val="ae"/>
        <w:numPr>
          <w:ilvl w:val="0"/>
          <w:numId w:val="3"/>
        </w:numPr>
        <w:spacing w:before="0" w:beforeAutospacing="0" w:after="0" w:afterAutospacing="0"/>
        <w:ind w:left="425" w:hanging="425"/>
        <w:jc w:val="both"/>
        <w:rPr>
          <w:sz w:val="20"/>
          <w:szCs w:val="20"/>
          <w:lang w:val="en-US"/>
        </w:rPr>
      </w:pPr>
      <w:r w:rsidRPr="00AC0CF3">
        <w:rPr>
          <w:sz w:val="20"/>
          <w:szCs w:val="20"/>
          <w:lang w:val="en-US"/>
        </w:rPr>
        <w:t xml:space="preserve">U. </w:t>
      </w:r>
      <w:proofErr w:type="spellStart"/>
      <w:r w:rsidRPr="00AC0CF3">
        <w:rPr>
          <w:sz w:val="20"/>
          <w:szCs w:val="20"/>
          <w:lang w:val="en-US"/>
        </w:rPr>
        <w:t>Berdiyev</w:t>
      </w:r>
      <w:proofErr w:type="spellEnd"/>
      <w:r w:rsidRPr="00AC0CF3">
        <w:rPr>
          <w:sz w:val="20"/>
          <w:szCs w:val="20"/>
          <w:lang w:val="en-US"/>
        </w:rPr>
        <w:t xml:space="preserve">, U. </w:t>
      </w:r>
      <w:proofErr w:type="spellStart"/>
      <w:r w:rsidRPr="00AC0CF3">
        <w:rPr>
          <w:sz w:val="20"/>
          <w:szCs w:val="20"/>
          <w:lang w:val="en-US"/>
        </w:rPr>
        <w:t>Sulaymonov</w:t>
      </w:r>
      <w:proofErr w:type="spellEnd"/>
      <w:r w:rsidRPr="00AC0CF3">
        <w:rPr>
          <w:sz w:val="20"/>
          <w:szCs w:val="20"/>
          <w:lang w:val="en-US"/>
        </w:rPr>
        <w:t xml:space="preserve">, and Z. </w:t>
      </w:r>
      <w:proofErr w:type="spellStart"/>
      <w:r w:rsidRPr="00AC0CF3">
        <w:rPr>
          <w:sz w:val="20"/>
          <w:szCs w:val="20"/>
          <w:lang w:val="en-US"/>
        </w:rPr>
        <w:t>Mirakhmedova</w:t>
      </w:r>
      <w:proofErr w:type="spellEnd"/>
      <w:r w:rsidRPr="00AC0CF3">
        <w:rPr>
          <w:sz w:val="20"/>
          <w:szCs w:val="20"/>
          <w:lang w:val="en-US"/>
        </w:rPr>
        <w:t xml:space="preserve">, </w:t>
      </w:r>
      <w:r w:rsidRPr="00AC0CF3">
        <w:rPr>
          <w:rStyle w:val="af1"/>
          <w:sz w:val="20"/>
          <w:szCs w:val="20"/>
          <w:lang w:val="en-US"/>
        </w:rPr>
        <w:t>Use of composite alloys for two stator-valve electric motors</w:t>
      </w:r>
      <w:r w:rsidRPr="00AC0CF3">
        <w:rPr>
          <w:sz w:val="20"/>
          <w:szCs w:val="20"/>
          <w:lang w:val="en-US"/>
        </w:rPr>
        <w:t xml:space="preserve">, </w:t>
      </w:r>
      <w:r w:rsidRPr="00AC0CF3">
        <w:rPr>
          <w:rStyle w:val="af1"/>
          <w:sz w:val="20"/>
          <w:szCs w:val="20"/>
          <w:lang w:val="en-US"/>
        </w:rPr>
        <w:t>E3S Web Conf.</w:t>
      </w:r>
      <w:r w:rsidRPr="00AC0CF3">
        <w:rPr>
          <w:sz w:val="20"/>
          <w:szCs w:val="20"/>
          <w:lang w:val="en-US"/>
        </w:rPr>
        <w:t xml:space="preserve"> </w:t>
      </w:r>
      <w:r w:rsidRPr="00AC0CF3">
        <w:rPr>
          <w:rStyle w:val="a9"/>
          <w:sz w:val="20"/>
          <w:szCs w:val="20"/>
          <w:lang w:val="en-US"/>
        </w:rPr>
        <w:t>461</w:t>
      </w:r>
      <w:r w:rsidRPr="00AC0CF3">
        <w:rPr>
          <w:sz w:val="20"/>
          <w:szCs w:val="20"/>
          <w:lang w:val="en-US"/>
        </w:rPr>
        <w:t>, 01081 (2023). doi:10.1051/e3sconf/202346101081.</w:t>
      </w:r>
    </w:p>
    <w:p w14:paraId="2A3F8BFD" w14:textId="7708D140" w:rsidR="008D331B" w:rsidRPr="00043F8C" w:rsidRDefault="00AC0CF3" w:rsidP="00043F8C">
      <w:pPr>
        <w:pStyle w:val="ae"/>
        <w:numPr>
          <w:ilvl w:val="0"/>
          <w:numId w:val="3"/>
        </w:numPr>
        <w:spacing w:before="0" w:beforeAutospacing="0" w:after="0" w:afterAutospacing="0"/>
        <w:ind w:left="425" w:hanging="425"/>
        <w:jc w:val="both"/>
        <w:rPr>
          <w:rStyle w:val="a6"/>
          <w:sz w:val="20"/>
          <w:szCs w:val="20"/>
          <w:vertAlign w:val="baseline"/>
          <w:lang w:val="en-US"/>
        </w:rPr>
      </w:pPr>
      <w:r w:rsidRPr="00AC0CF3">
        <w:rPr>
          <w:sz w:val="20"/>
          <w:szCs w:val="20"/>
          <w:lang w:val="en-US"/>
        </w:rPr>
        <w:t xml:space="preserve">U. </w:t>
      </w:r>
      <w:proofErr w:type="spellStart"/>
      <w:r w:rsidRPr="00AC0CF3">
        <w:rPr>
          <w:sz w:val="20"/>
          <w:szCs w:val="20"/>
          <w:lang w:val="en-US"/>
        </w:rPr>
        <w:t>Berdiyev</w:t>
      </w:r>
      <w:proofErr w:type="spellEnd"/>
      <w:r w:rsidRPr="00AC0CF3">
        <w:rPr>
          <w:sz w:val="20"/>
          <w:szCs w:val="20"/>
          <w:lang w:val="en-US"/>
        </w:rPr>
        <w:t xml:space="preserve">, O. </w:t>
      </w:r>
      <w:proofErr w:type="spellStart"/>
      <w:r w:rsidRPr="00AC0CF3">
        <w:rPr>
          <w:sz w:val="20"/>
          <w:szCs w:val="20"/>
          <w:lang w:val="en-US"/>
        </w:rPr>
        <w:t>Demedenko</w:t>
      </w:r>
      <w:proofErr w:type="spellEnd"/>
      <w:r w:rsidRPr="00AC0CF3">
        <w:rPr>
          <w:sz w:val="20"/>
          <w:szCs w:val="20"/>
          <w:lang w:val="en-US"/>
        </w:rPr>
        <w:t xml:space="preserve">, M. </w:t>
      </w:r>
      <w:proofErr w:type="spellStart"/>
      <w:r w:rsidRPr="00AC0CF3">
        <w:rPr>
          <w:sz w:val="20"/>
          <w:szCs w:val="20"/>
          <w:lang w:val="en-US"/>
        </w:rPr>
        <w:t>Ashurov</w:t>
      </w:r>
      <w:proofErr w:type="spellEnd"/>
      <w:r w:rsidRPr="00AC0CF3">
        <w:rPr>
          <w:sz w:val="20"/>
          <w:szCs w:val="20"/>
          <w:lang w:val="en-US"/>
        </w:rPr>
        <w:t xml:space="preserve">, F. F. Hasanov, and U. B. </w:t>
      </w:r>
      <w:proofErr w:type="spellStart"/>
      <w:r w:rsidRPr="00AC0CF3">
        <w:rPr>
          <w:sz w:val="20"/>
          <w:szCs w:val="20"/>
          <w:lang w:val="en-US"/>
        </w:rPr>
        <w:t>Sulaymonov</w:t>
      </w:r>
      <w:proofErr w:type="spellEnd"/>
      <w:r w:rsidRPr="00AC0CF3">
        <w:rPr>
          <w:sz w:val="20"/>
          <w:szCs w:val="20"/>
          <w:lang w:val="en-US"/>
        </w:rPr>
        <w:t xml:space="preserve">, </w:t>
      </w:r>
      <w:r w:rsidRPr="00AC0CF3">
        <w:rPr>
          <w:rStyle w:val="af1"/>
          <w:sz w:val="20"/>
          <w:szCs w:val="20"/>
          <w:lang w:val="en-US"/>
        </w:rPr>
        <w:t>Optimization of the method of oxide coating of metallic iron powder particles</w:t>
      </w:r>
      <w:r w:rsidRPr="00AC0CF3">
        <w:rPr>
          <w:sz w:val="20"/>
          <w:szCs w:val="20"/>
          <w:lang w:val="en-US"/>
        </w:rPr>
        <w:t xml:space="preserve">, </w:t>
      </w:r>
      <w:r w:rsidRPr="00AC0CF3">
        <w:rPr>
          <w:rStyle w:val="af1"/>
          <w:sz w:val="20"/>
          <w:szCs w:val="20"/>
          <w:lang w:val="en-US"/>
        </w:rPr>
        <w:t>E3S Web Conf.</w:t>
      </w:r>
      <w:r w:rsidRPr="00AC0CF3">
        <w:rPr>
          <w:sz w:val="20"/>
          <w:szCs w:val="20"/>
          <w:lang w:val="en-US"/>
        </w:rPr>
        <w:t xml:space="preserve"> </w:t>
      </w:r>
      <w:r w:rsidRPr="00AC0CF3">
        <w:rPr>
          <w:rStyle w:val="a9"/>
          <w:sz w:val="20"/>
          <w:szCs w:val="20"/>
          <w:lang w:val="en-US"/>
        </w:rPr>
        <w:t>383</w:t>
      </w:r>
      <w:r w:rsidRPr="00AC0CF3">
        <w:rPr>
          <w:sz w:val="20"/>
          <w:szCs w:val="20"/>
          <w:lang w:val="en-US"/>
        </w:rPr>
        <w:t>, 04039 (2023). doi:10.1051/e3sconf/202338304039.</w:t>
      </w:r>
    </w:p>
    <w:sectPr w:rsidR="008D331B" w:rsidRPr="00043F8C" w:rsidSect="00817AED">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A2624" w14:textId="77777777" w:rsidR="00646CE7" w:rsidRDefault="00646CE7" w:rsidP="00D438E2">
      <w:pPr>
        <w:spacing w:after="0" w:line="240" w:lineRule="auto"/>
      </w:pPr>
      <w:r>
        <w:separator/>
      </w:r>
    </w:p>
  </w:endnote>
  <w:endnote w:type="continuationSeparator" w:id="0">
    <w:p w14:paraId="18DDBB38" w14:textId="77777777" w:rsidR="00646CE7" w:rsidRDefault="00646CE7" w:rsidP="00D43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5AB9B" w14:textId="77777777" w:rsidR="00646CE7" w:rsidRDefault="00646CE7" w:rsidP="00D438E2">
      <w:pPr>
        <w:spacing w:after="0" w:line="240" w:lineRule="auto"/>
      </w:pPr>
      <w:r>
        <w:separator/>
      </w:r>
    </w:p>
  </w:footnote>
  <w:footnote w:type="continuationSeparator" w:id="0">
    <w:p w14:paraId="5336B672" w14:textId="77777777" w:rsidR="00646CE7" w:rsidRDefault="00646CE7" w:rsidP="00D438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6C7A7D"/>
    <w:multiLevelType w:val="hybridMultilevel"/>
    <w:tmpl w:val="3BC8C5E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DC07ED1"/>
    <w:multiLevelType w:val="hybridMultilevel"/>
    <w:tmpl w:val="6FC08E30"/>
    <w:lvl w:ilvl="0" w:tplc="101EAA5C">
      <w:start w:val="1"/>
      <w:numFmt w:val="decimal"/>
      <w:lvlText w:val="%1."/>
      <w:lvlJc w:val="left"/>
      <w:pPr>
        <w:ind w:left="1287" w:hanging="360"/>
      </w:pPr>
      <w:rPr>
        <w:b/>
        <w:bCs/>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15:restartNumberingAfterBreak="0">
    <w:nsid w:val="7D0C0AD1"/>
    <w:multiLevelType w:val="hybridMultilevel"/>
    <w:tmpl w:val="5DF4E3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4ED0"/>
    <w:rsid w:val="000073B4"/>
    <w:rsid w:val="00012C1B"/>
    <w:rsid w:val="00016A79"/>
    <w:rsid w:val="000409FB"/>
    <w:rsid w:val="00040E20"/>
    <w:rsid w:val="00043F8C"/>
    <w:rsid w:val="00066C5B"/>
    <w:rsid w:val="000962F5"/>
    <w:rsid w:val="000A0733"/>
    <w:rsid w:val="000B3798"/>
    <w:rsid w:val="000D32FD"/>
    <w:rsid w:val="000E17F3"/>
    <w:rsid w:val="000E34A9"/>
    <w:rsid w:val="001064A2"/>
    <w:rsid w:val="00106DC1"/>
    <w:rsid w:val="001121E7"/>
    <w:rsid w:val="00126122"/>
    <w:rsid w:val="0019031A"/>
    <w:rsid w:val="00191585"/>
    <w:rsid w:val="001A10F4"/>
    <w:rsid w:val="001A6C71"/>
    <w:rsid w:val="001A6D56"/>
    <w:rsid w:val="001E2E04"/>
    <w:rsid w:val="00241A1C"/>
    <w:rsid w:val="002654C9"/>
    <w:rsid w:val="002A21F5"/>
    <w:rsid w:val="002B6750"/>
    <w:rsid w:val="002D1B02"/>
    <w:rsid w:val="002E15CA"/>
    <w:rsid w:val="002F1240"/>
    <w:rsid w:val="002F2255"/>
    <w:rsid w:val="00301E7D"/>
    <w:rsid w:val="003135FE"/>
    <w:rsid w:val="003238D0"/>
    <w:rsid w:val="003269E0"/>
    <w:rsid w:val="00345BF9"/>
    <w:rsid w:val="00365FAF"/>
    <w:rsid w:val="00386390"/>
    <w:rsid w:val="003C299B"/>
    <w:rsid w:val="003E4C86"/>
    <w:rsid w:val="003F0C65"/>
    <w:rsid w:val="003F46E0"/>
    <w:rsid w:val="004151E2"/>
    <w:rsid w:val="00426C40"/>
    <w:rsid w:val="00446A79"/>
    <w:rsid w:val="0047144F"/>
    <w:rsid w:val="00485FCF"/>
    <w:rsid w:val="0049075A"/>
    <w:rsid w:val="004E433B"/>
    <w:rsid w:val="004E4F2F"/>
    <w:rsid w:val="0050196C"/>
    <w:rsid w:val="0051146B"/>
    <w:rsid w:val="005128D5"/>
    <w:rsid w:val="00527A9E"/>
    <w:rsid w:val="00542FAF"/>
    <w:rsid w:val="005A503E"/>
    <w:rsid w:val="005C2979"/>
    <w:rsid w:val="005D74D0"/>
    <w:rsid w:val="005E16D1"/>
    <w:rsid w:val="005E23A8"/>
    <w:rsid w:val="005F0460"/>
    <w:rsid w:val="00623DE0"/>
    <w:rsid w:val="00646CE7"/>
    <w:rsid w:val="0066575E"/>
    <w:rsid w:val="00681848"/>
    <w:rsid w:val="006A3F8B"/>
    <w:rsid w:val="0070587D"/>
    <w:rsid w:val="00714DCD"/>
    <w:rsid w:val="0074612E"/>
    <w:rsid w:val="00755A19"/>
    <w:rsid w:val="00755FDF"/>
    <w:rsid w:val="00762C5A"/>
    <w:rsid w:val="0078385F"/>
    <w:rsid w:val="007B1582"/>
    <w:rsid w:val="007B3BF3"/>
    <w:rsid w:val="007B7898"/>
    <w:rsid w:val="007C161E"/>
    <w:rsid w:val="007E1142"/>
    <w:rsid w:val="007F3D8D"/>
    <w:rsid w:val="0081566C"/>
    <w:rsid w:val="00817AED"/>
    <w:rsid w:val="00820775"/>
    <w:rsid w:val="00826207"/>
    <w:rsid w:val="00827658"/>
    <w:rsid w:val="008522A5"/>
    <w:rsid w:val="0086659A"/>
    <w:rsid w:val="008A19AE"/>
    <w:rsid w:val="008A3579"/>
    <w:rsid w:val="008A4175"/>
    <w:rsid w:val="008C67F7"/>
    <w:rsid w:val="008D331B"/>
    <w:rsid w:val="008D61D9"/>
    <w:rsid w:val="008E602F"/>
    <w:rsid w:val="008E7BAA"/>
    <w:rsid w:val="008F0593"/>
    <w:rsid w:val="00923E4E"/>
    <w:rsid w:val="00974B2C"/>
    <w:rsid w:val="00974ED0"/>
    <w:rsid w:val="00980FF9"/>
    <w:rsid w:val="00991F3B"/>
    <w:rsid w:val="009972A2"/>
    <w:rsid w:val="009E0AC3"/>
    <w:rsid w:val="009E7473"/>
    <w:rsid w:val="009F0F6A"/>
    <w:rsid w:val="00A05FD3"/>
    <w:rsid w:val="00A31726"/>
    <w:rsid w:val="00A73561"/>
    <w:rsid w:val="00AB36E3"/>
    <w:rsid w:val="00AC0CF3"/>
    <w:rsid w:val="00AC4376"/>
    <w:rsid w:val="00AD580D"/>
    <w:rsid w:val="00B30A8E"/>
    <w:rsid w:val="00B33DC7"/>
    <w:rsid w:val="00B473D1"/>
    <w:rsid w:val="00B63001"/>
    <w:rsid w:val="00B81D36"/>
    <w:rsid w:val="00BC465E"/>
    <w:rsid w:val="00C71DAF"/>
    <w:rsid w:val="00C83E3E"/>
    <w:rsid w:val="00D037E0"/>
    <w:rsid w:val="00D05FF0"/>
    <w:rsid w:val="00D438E2"/>
    <w:rsid w:val="00D543E6"/>
    <w:rsid w:val="00D72856"/>
    <w:rsid w:val="00D7463A"/>
    <w:rsid w:val="00DB7730"/>
    <w:rsid w:val="00DE0667"/>
    <w:rsid w:val="00E02C46"/>
    <w:rsid w:val="00E22E3D"/>
    <w:rsid w:val="00E5204D"/>
    <w:rsid w:val="00E62F8B"/>
    <w:rsid w:val="00F055D6"/>
    <w:rsid w:val="00F23436"/>
    <w:rsid w:val="00F70782"/>
    <w:rsid w:val="00F7144E"/>
    <w:rsid w:val="00FB16B3"/>
    <w:rsid w:val="00FD7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FCBD4"/>
  <w15:docId w15:val="{E5078507-8EA7-4896-AE46-C637973BB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8A19AE"/>
    <w:pPr>
      <w:keepNext/>
      <w:keepLines/>
      <w:widowControl w:val="0"/>
      <w:autoSpaceDE w:val="0"/>
      <w:autoSpaceDN w:val="0"/>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27A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DB7730"/>
    <w:rPr>
      <w:rFonts w:ascii="Times New Roman" w:hAnsi="Times New Roman" w:cs="Times New Roman" w:hint="default"/>
      <w:b w:val="0"/>
      <w:bCs w:val="0"/>
      <w:i w:val="0"/>
      <w:iCs w:val="0"/>
      <w:color w:val="000000"/>
      <w:sz w:val="20"/>
      <w:szCs w:val="20"/>
    </w:rPr>
  </w:style>
  <w:style w:type="character" w:customStyle="1" w:styleId="fontstyle21">
    <w:name w:val="fontstyle21"/>
    <w:basedOn w:val="a0"/>
    <w:rsid w:val="00DB7730"/>
    <w:rPr>
      <w:rFonts w:ascii="Symbol" w:hAnsi="Symbol" w:hint="default"/>
      <w:b w:val="0"/>
      <w:bCs w:val="0"/>
      <w:i w:val="0"/>
      <w:iCs w:val="0"/>
      <w:color w:val="000000"/>
      <w:sz w:val="20"/>
      <w:szCs w:val="20"/>
    </w:rPr>
  </w:style>
  <w:style w:type="character" w:customStyle="1" w:styleId="fontstyle31">
    <w:name w:val="fontstyle31"/>
    <w:basedOn w:val="a0"/>
    <w:rsid w:val="00DB7730"/>
    <w:rPr>
      <w:rFonts w:ascii="Times New Roman" w:hAnsi="Times New Roman" w:cs="Times New Roman" w:hint="default"/>
      <w:b/>
      <w:bCs/>
      <w:i w:val="0"/>
      <w:iCs w:val="0"/>
      <w:color w:val="000000"/>
      <w:sz w:val="20"/>
      <w:szCs w:val="20"/>
    </w:rPr>
  </w:style>
  <w:style w:type="character" w:customStyle="1" w:styleId="fontstyle41">
    <w:name w:val="fontstyle41"/>
    <w:basedOn w:val="a0"/>
    <w:rsid w:val="00DB7730"/>
    <w:rPr>
      <w:rFonts w:ascii="Times New Roman" w:hAnsi="Times New Roman" w:cs="Times New Roman" w:hint="default"/>
      <w:b w:val="0"/>
      <w:bCs w:val="0"/>
      <w:i/>
      <w:iCs/>
      <w:color w:val="000000"/>
      <w:sz w:val="20"/>
      <w:szCs w:val="20"/>
    </w:rPr>
  </w:style>
  <w:style w:type="character" w:customStyle="1" w:styleId="20">
    <w:name w:val="Заголовок 2 Знак"/>
    <w:basedOn w:val="a0"/>
    <w:link w:val="2"/>
    <w:uiPriority w:val="9"/>
    <w:semiHidden/>
    <w:rsid w:val="008A19AE"/>
    <w:rPr>
      <w:rFonts w:asciiTheme="majorHAnsi" w:eastAsiaTheme="majorEastAsia" w:hAnsiTheme="majorHAnsi" w:cstheme="majorBidi"/>
      <w:b/>
      <w:bCs/>
      <w:color w:val="4F81BD" w:themeColor="accent1"/>
      <w:sz w:val="26"/>
      <w:szCs w:val="26"/>
    </w:rPr>
  </w:style>
  <w:style w:type="paragraph" w:styleId="a3">
    <w:name w:val="endnote text"/>
    <w:basedOn w:val="a"/>
    <w:link w:val="a4"/>
    <w:rsid w:val="008A19AE"/>
    <w:pPr>
      <w:spacing w:after="0" w:line="240" w:lineRule="auto"/>
    </w:pPr>
    <w:rPr>
      <w:rFonts w:ascii="Times New Roman" w:eastAsia="Times New Roman" w:hAnsi="Times New Roman" w:cs="Times New Roman"/>
      <w:sz w:val="20"/>
      <w:szCs w:val="20"/>
      <w:lang w:eastAsia="ru-RU"/>
    </w:rPr>
  </w:style>
  <w:style w:type="character" w:customStyle="1" w:styleId="a4">
    <w:name w:val="Текст концевой сноски Знак"/>
    <w:basedOn w:val="a0"/>
    <w:link w:val="a3"/>
    <w:uiPriority w:val="99"/>
    <w:rsid w:val="008A19AE"/>
    <w:rPr>
      <w:rFonts w:ascii="Times New Roman" w:eastAsia="Times New Roman" w:hAnsi="Times New Roman" w:cs="Times New Roman"/>
      <w:sz w:val="20"/>
      <w:szCs w:val="20"/>
      <w:lang w:eastAsia="ru-RU"/>
    </w:rPr>
  </w:style>
  <w:style w:type="paragraph" w:styleId="a5">
    <w:name w:val="List Paragraph"/>
    <w:basedOn w:val="a"/>
    <w:uiPriority w:val="1"/>
    <w:qFormat/>
    <w:rsid w:val="00D438E2"/>
    <w:pPr>
      <w:spacing w:after="0" w:line="240" w:lineRule="auto"/>
      <w:ind w:left="720"/>
      <w:contextualSpacing/>
    </w:pPr>
    <w:rPr>
      <w:rFonts w:ascii="Times New Roman" w:eastAsia="Times New Roman" w:hAnsi="Times New Roman" w:cs="Times New Roman"/>
      <w:sz w:val="20"/>
      <w:szCs w:val="20"/>
      <w:lang w:eastAsia="ru-RU"/>
    </w:rPr>
  </w:style>
  <w:style w:type="character" w:styleId="a6">
    <w:name w:val="endnote reference"/>
    <w:basedOn w:val="a0"/>
    <w:uiPriority w:val="99"/>
    <w:semiHidden/>
    <w:unhideWhenUsed/>
    <w:rsid w:val="00D438E2"/>
    <w:rPr>
      <w:vertAlign w:val="superscript"/>
    </w:rPr>
  </w:style>
  <w:style w:type="table" w:styleId="a7">
    <w:name w:val="Table Grid"/>
    <w:basedOn w:val="a1"/>
    <w:uiPriority w:val="59"/>
    <w:rsid w:val="00D43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Основной текст_"/>
    <w:link w:val="1"/>
    <w:locked/>
    <w:rsid w:val="001A6C71"/>
    <w:rPr>
      <w:sz w:val="19"/>
      <w:szCs w:val="19"/>
    </w:rPr>
  </w:style>
  <w:style w:type="paragraph" w:customStyle="1" w:styleId="1">
    <w:name w:val="Основной текст1"/>
    <w:basedOn w:val="a"/>
    <w:link w:val="a8"/>
    <w:rsid w:val="001A6C71"/>
    <w:pPr>
      <w:widowControl w:val="0"/>
      <w:spacing w:after="0" w:line="316" w:lineRule="auto"/>
      <w:ind w:firstLine="400"/>
    </w:pPr>
    <w:rPr>
      <w:sz w:val="19"/>
      <w:szCs w:val="19"/>
    </w:rPr>
  </w:style>
  <w:style w:type="paragraph" w:customStyle="1" w:styleId="6">
    <w:name w:val="Основной текст6"/>
    <w:basedOn w:val="a"/>
    <w:rsid w:val="001A6C71"/>
    <w:pPr>
      <w:widowControl w:val="0"/>
      <w:shd w:val="clear" w:color="auto" w:fill="FFFFFF"/>
      <w:spacing w:after="0" w:line="322" w:lineRule="exact"/>
      <w:jc w:val="center"/>
    </w:pPr>
    <w:rPr>
      <w:rFonts w:ascii="Times New Roman" w:eastAsia="Times New Roman" w:hAnsi="Times New Roman" w:cs="Times New Roman"/>
      <w:color w:val="000000"/>
      <w:sz w:val="26"/>
      <w:szCs w:val="26"/>
      <w:lang w:eastAsia="ru-RU"/>
    </w:rPr>
  </w:style>
  <w:style w:type="character" w:styleId="a9">
    <w:name w:val="Strong"/>
    <w:uiPriority w:val="22"/>
    <w:qFormat/>
    <w:rsid w:val="001A6C71"/>
    <w:rPr>
      <w:b/>
      <w:bCs/>
    </w:rPr>
  </w:style>
  <w:style w:type="paragraph" w:styleId="HTML">
    <w:name w:val="HTML Preformatted"/>
    <w:basedOn w:val="a"/>
    <w:link w:val="HTML0"/>
    <w:uiPriority w:val="99"/>
    <w:unhideWhenUsed/>
    <w:rsid w:val="00B81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81D36"/>
    <w:rPr>
      <w:rFonts w:ascii="Courier New" w:eastAsia="Times New Roman" w:hAnsi="Courier New" w:cs="Courier New"/>
      <w:sz w:val="20"/>
      <w:szCs w:val="20"/>
      <w:lang w:eastAsia="ru-RU"/>
    </w:rPr>
  </w:style>
  <w:style w:type="character" w:customStyle="1" w:styleId="y2iqfc">
    <w:name w:val="y2iqfc"/>
    <w:basedOn w:val="a0"/>
    <w:rsid w:val="00B81D36"/>
  </w:style>
  <w:style w:type="character" w:styleId="aa">
    <w:name w:val="Placeholder Text"/>
    <w:basedOn w:val="a0"/>
    <w:uiPriority w:val="99"/>
    <w:semiHidden/>
    <w:rsid w:val="00B81D36"/>
    <w:rPr>
      <w:color w:val="808080"/>
    </w:rPr>
  </w:style>
  <w:style w:type="character" w:customStyle="1" w:styleId="highlight-moduleako5d">
    <w:name w:val="highlight-module__ako5d"/>
    <w:basedOn w:val="a0"/>
    <w:rsid w:val="00762C5A"/>
  </w:style>
  <w:style w:type="character" w:styleId="ab">
    <w:name w:val="Hyperlink"/>
    <w:basedOn w:val="a0"/>
    <w:uiPriority w:val="99"/>
    <w:unhideWhenUsed/>
    <w:rsid w:val="00980FF9"/>
    <w:rPr>
      <w:color w:val="0000FF" w:themeColor="hyperlink"/>
      <w:u w:val="single"/>
    </w:rPr>
  </w:style>
  <w:style w:type="character" w:customStyle="1" w:styleId="10">
    <w:name w:val="Неразрешенное упоминание1"/>
    <w:basedOn w:val="a0"/>
    <w:uiPriority w:val="99"/>
    <w:semiHidden/>
    <w:unhideWhenUsed/>
    <w:rsid w:val="00980FF9"/>
    <w:rPr>
      <w:color w:val="605E5C"/>
      <w:shd w:val="clear" w:color="auto" w:fill="E1DFDD"/>
    </w:rPr>
  </w:style>
  <w:style w:type="paragraph" w:styleId="ac">
    <w:name w:val="Body Text Indent"/>
    <w:basedOn w:val="a"/>
    <w:link w:val="ad"/>
    <w:rsid w:val="003269E0"/>
    <w:pPr>
      <w:spacing w:after="0" w:line="252" w:lineRule="auto"/>
      <w:ind w:firstLine="426"/>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3269E0"/>
    <w:rPr>
      <w:rFonts w:ascii="Times New Roman" w:eastAsia="Times New Roman" w:hAnsi="Times New Roman" w:cs="Times New Roman"/>
      <w:sz w:val="28"/>
      <w:szCs w:val="20"/>
      <w:lang w:eastAsia="ru-RU"/>
    </w:rPr>
  </w:style>
  <w:style w:type="paragraph" w:styleId="ae">
    <w:name w:val="Normal (Web)"/>
    <w:basedOn w:val="a"/>
    <w:uiPriority w:val="99"/>
    <w:unhideWhenUsed/>
    <w:rsid w:val="003F0C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527A9E"/>
    <w:rPr>
      <w:rFonts w:asciiTheme="majorHAnsi" w:eastAsiaTheme="majorEastAsia" w:hAnsiTheme="majorHAnsi" w:cstheme="majorBidi"/>
      <w:color w:val="243F60" w:themeColor="accent1" w:themeShade="7F"/>
      <w:sz w:val="24"/>
      <w:szCs w:val="24"/>
    </w:rPr>
  </w:style>
  <w:style w:type="paragraph" w:styleId="af">
    <w:name w:val="Balloon Text"/>
    <w:basedOn w:val="a"/>
    <w:link w:val="af0"/>
    <w:uiPriority w:val="99"/>
    <w:semiHidden/>
    <w:unhideWhenUsed/>
    <w:rsid w:val="008D331B"/>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D331B"/>
    <w:rPr>
      <w:rFonts w:ascii="Tahoma" w:hAnsi="Tahoma" w:cs="Tahoma"/>
      <w:sz w:val="16"/>
      <w:szCs w:val="16"/>
    </w:rPr>
  </w:style>
  <w:style w:type="character" w:customStyle="1" w:styleId="author">
    <w:name w:val="author"/>
    <w:basedOn w:val="a0"/>
    <w:rsid w:val="008D331B"/>
  </w:style>
  <w:style w:type="character" w:customStyle="1" w:styleId="al-author-delim">
    <w:name w:val="al-author-delim"/>
    <w:basedOn w:val="a0"/>
    <w:rsid w:val="008D331B"/>
  </w:style>
  <w:style w:type="character" w:styleId="af1">
    <w:name w:val="Emphasis"/>
    <w:basedOn w:val="a0"/>
    <w:uiPriority w:val="20"/>
    <w:qFormat/>
    <w:rsid w:val="008D331B"/>
    <w:rPr>
      <w:i/>
      <w:iCs/>
    </w:rPr>
  </w:style>
  <w:style w:type="paragraph" w:styleId="af2">
    <w:name w:val="Title"/>
    <w:basedOn w:val="a"/>
    <w:link w:val="af3"/>
    <w:uiPriority w:val="1"/>
    <w:qFormat/>
    <w:rsid w:val="00365FAF"/>
    <w:pPr>
      <w:widowControl w:val="0"/>
      <w:autoSpaceDE w:val="0"/>
      <w:autoSpaceDN w:val="0"/>
      <w:spacing w:before="89" w:after="0" w:line="240" w:lineRule="auto"/>
      <w:ind w:right="193"/>
      <w:jc w:val="center"/>
    </w:pPr>
    <w:rPr>
      <w:rFonts w:ascii="Times New Roman" w:eastAsia="Times New Roman" w:hAnsi="Times New Roman" w:cs="Times New Roman"/>
      <w:b/>
      <w:bCs/>
      <w:sz w:val="34"/>
      <w:szCs w:val="34"/>
      <w:lang w:val="en-US"/>
    </w:rPr>
  </w:style>
  <w:style w:type="character" w:customStyle="1" w:styleId="af3">
    <w:name w:val="Заголовок Знак"/>
    <w:basedOn w:val="a0"/>
    <w:link w:val="af2"/>
    <w:uiPriority w:val="1"/>
    <w:rsid w:val="00365FAF"/>
    <w:rPr>
      <w:rFonts w:ascii="Times New Roman" w:eastAsia="Times New Roman" w:hAnsi="Times New Roman" w:cs="Times New Roman"/>
      <w:b/>
      <w:bCs/>
      <w:sz w:val="34"/>
      <w:szCs w:val="34"/>
      <w:lang w:val="en-US"/>
    </w:rPr>
  </w:style>
  <w:style w:type="character" w:styleId="af4">
    <w:name w:val="Unresolved Mention"/>
    <w:basedOn w:val="a0"/>
    <w:uiPriority w:val="99"/>
    <w:semiHidden/>
    <w:unhideWhenUsed/>
    <w:rsid w:val="008522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12581">
      <w:bodyDiv w:val="1"/>
      <w:marLeft w:val="0"/>
      <w:marRight w:val="0"/>
      <w:marTop w:val="0"/>
      <w:marBottom w:val="0"/>
      <w:divBdr>
        <w:top w:val="none" w:sz="0" w:space="0" w:color="auto"/>
        <w:left w:val="none" w:sz="0" w:space="0" w:color="auto"/>
        <w:bottom w:val="none" w:sz="0" w:space="0" w:color="auto"/>
        <w:right w:val="none" w:sz="0" w:space="0" w:color="auto"/>
      </w:divBdr>
    </w:div>
    <w:div w:id="79832626">
      <w:bodyDiv w:val="1"/>
      <w:marLeft w:val="0"/>
      <w:marRight w:val="0"/>
      <w:marTop w:val="0"/>
      <w:marBottom w:val="0"/>
      <w:divBdr>
        <w:top w:val="none" w:sz="0" w:space="0" w:color="auto"/>
        <w:left w:val="none" w:sz="0" w:space="0" w:color="auto"/>
        <w:bottom w:val="none" w:sz="0" w:space="0" w:color="auto"/>
        <w:right w:val="none" w:sz="0" w:space="0" w:color="auto"/>
      </w:divBdr>
    </w:div>
    <w:div w:id="92484014">
      <w:bodyDiv w:val="1"/>
      <w:marLeft w:val="0"/>
      <w:marRight w:val="0"/>
      <w:marTop w:val="0"/>
      <w:marBottom w:val="0"/>
      <w:divBdr>
        <w:top w:val="none" w:sz="0" w:space="0" w:color="auto"/>
        <w:left w:val="none" w:sz="0" w:space="0" w:color="auto"/>
        <w:bottom w:val="none" w:sz="0" w:space="0" w:color="auto"/>
        <w:right w:val="none" w:sz="0" w:space="0" w:color="auto"/>
      </w:divBdr>
    </w:div>
    <w:div w:id="115373348">
      <w:bodyDiv w:val="1"/>
      <w:marLeft w:val="0"/>
      <w:marRight w:val="0"/>
      <w:marTop w:val="0"/>
      <w:marBottom w:val="0"/>
      <w:divBdr>
        <w:top w:val="none" w:sz="0" w:space="0" w:color="auto"/>
        <w:left w:val="none" w:sz="0" w:space="0" w:color="auto"/>
        <w:bottom w:val="none" w:sz="0" w:space="0" w:color="auto"/>
        <w:right w:val="none" w:sz="0" w:space="0" w:color="auto"/>
      </w:divBdr>
    </w:div>
    <w:div w:id="154491611">
      <w:bodyDiv w:val="1"/>
      <w:marLeft w:val="0"/>
      <w:marRight w:val="0"/>
      <w:marTop w:val="0"/>
      <w:marBottom w:val="0"/>
      <w:divBdr>
        <w:top w:val="none" w:sz="0" w:space="0" w:color="auto"/>
        <w:left w:val="none" w:sz="0" w:space="0" w:color="auto"/>
        <w:bottom w:val="none" w:sz="0" w:space="0" w:color="auto"/>
        <w:right w:val="none" w:sz="0" w:space="0" w:color="auto"/>
      </w:divBdr>
    </w:div>
    <w:div w:id="215238729">
      <w:bodyDiv w:val="1"/>
      <w:marLeft w:val="0"/>
      <w:marRight w:val="0"/>
      <w:marTop w:val="0"/>
      <w:marBottom w:val="0"/>
      <w:divBdr>
        <w:top w:val="none" w:sz="0" w:space="0" w:color="auto"/>
        <w:left w:val="none" w:sz="0" w:space="0" w:color="auto"/>
        <w:bottom w:val="none" w:sz="0" w:space="0" w:color="auto"/>
        <w:right w:val="none" w:sz="0" w:space="0" w:color="auto"/>
      </w:divBdr>
    </w:div>
    <w:div w:id="237786873">
      <w:bodyDiv w:val="1"/>
      <w:marLeft w:val="0"/>
      <w:marRight w:val="0"/>
      <w:marTop w:val="0"/>
      <w:marBottom w:val="0"/>
      <w:divBdr>
        <w:top w:val="none" w:sz="0" w:space="0" w:color="auto"/>
        <w:left w:val="none" w:sz="0" w:space="0" w:color="auto"/>
        <w:bottom w:val="none" w:sz="0" w:space="0" w:color="auto"/>
        <w:right w:val="none" w:sz="0" w:space="0" w:color="auto"/>
      </w:divBdr>
    </w:div>
    <w:div w:id="335108906">
      <w:bodyDiv w:val="1"/>
      <w:marLeft w:val="0"/>
      <w:marRight w:val="0"/>
      <w:marTop w:val="0"/>
      <w:marBottom w:val="0"/>
      <w:divBdr>
        <w:top w:val="none" w:sz="0" w:space="0" w:color="auto"/>
        <w:left w:val="none" w:sz="0" w:space="0" w:color="auto"/>
        <w:bottom w:val="none" w:sz="0" w:space="0" w:color="auto"/>
        <w:right w:val="none" w:sz="0" w:space="0" w:color="auto"/>
      </w:divBdr>
    </w:div>
    <w:div w:id="348796002">
      <w:bodyDiv w:val="1"/>
      <w:marLeft w:val="0"/>
      <w:marRight w:val="0"/>
      <w:marTop w:val="0"/>
      <w:marBottom w:val="0"/>
      <w:divBdr>
        <w:top w:val="none" w:sz="0" w:space="0" w:color="auto"/>
        <w:left w:val="none" w:sz="0" w:space="0" w:color="auto"/>
        <w:bottom w:val="none" w:sz="0" w:space="0" w:color="auto"/>
        <w:right w:val="none" w:sz="0" w:space="0" w:color="auto"/>
      </w:divBdr>
    </w:div>
    <w:div w:id="363988451">
      <w:bodyDiv w:val="1"/>
      <w:marLeft w:val="0"/>
      <w:marRight w:val="0"/>
      <w:marTop w:val="0"/>
      <w:marBottom w:val="0"/>
      <w:divBdr>
        <w:top w:val="none" w:sz="0" w:space="0" w:color="auto"/>
        <w:left w:val="none" w:sz="0" w:space="0" w:color="auto"/>
        <w:bottom w:val="none" w:sz="0" w:space="0" w:color="auto"/>
        <w:right w:val="none" w:sz="0" w:space="0" w:color="auto"/>
      </w:divBdr>
    </w:div>
    <w:div w:id="374888599">
      <w:bodyDiv w:val="1"/>
      <w:marLeft w:val="0"/>
      <w:marRight w:val="0"/>
      <w:marTop w:val="0"/>
      <w:marBottom w:val="0"/>
      <w:divBdr>
        <w:top w:val="none" w:sz="0" w:space="0" w:color="auto"/>
        <w:left w:val="none" w:sz="0" w:space="0" w:color="auto"/>
        <w:bottom w:val="none" w:sz="0" w:space="0" w:color="auto"/>
        <w:right w:val="none" w:sz="0" w:space="0" w:color="auto"/>
      </w:divBdr>
    </w:div>
    <w:div w:id="384990222">
      <w:bodyDiv w:val="1"/>
      <w:marLeft w:val="0"/>
      <w:marRight w:val="0"/>
      <w:marTop w:val="0"/>
      <w:marBottom w:val="0"/>
      <w:divBdr>
        <w:top w:val="none" w:sz="0" w:space="0" w:color="auto"/>
        <w:left w:val="none" w:sz="0" w:space="0" w:color="auto"/>
        <w:bottom w:val="none" w:sz="0" w:space="0" w:color="auto"/>
        <w:right w:val="none" w:sz="0" w:space="0" w:color="auto"/>
      </w:divBdr>
    </w:div>
    <w:div w:id="445470988">
      <w:bodyDiv w:val="1"/>
      <w:marLeft w:val="0"/>
      <w:marRight w:val="0"/>
      <w:marTop w:val="0"/>
      <w:marBottom w:val="0"/>
      <w:divBdr>
        <w:top w:val="none" w:sz="0" w:space="0" w:color="auto"/>
        <w:left w:val="none" w:sz="0" w:space="0" w:color="auto"/>
        <w:bottom w:val="none" w:sz="0" w:space="0" w:color="auto"/>
        <w:right w:val="none" w:sz="0" w:space="0" w:color="auto"/>
      </w:divBdr>
    </w:div>
    <w:div w:id="493030040">
      <w:bodyDiv w:val="1"/>
      <w:marLeft w:val="0"/>
      <w:marRight w:val="0"/>
      <w:marTop w:val="0"/>
      <w:marBottom w:val="0"/>
      <w:divBdr>
        <w:top w:val="none" w:sz="0" w:space="0" w:color="auto"/>
        <w:left w:val="none" w:sz="0" w:space="0" w:color="auto"/>
        <w:bottom w:val="none" w:sz="0" w:space="0" w:color="auto"/>
        <w:right w:val="none" w:sz="0" w:space="0" w:color="auto"/>
      </w:divBdr>
    </w:div>
    <w:div w:id="501237496">
      <w:bodyDiv w:val="1"/>
      <w:marLeft w:val="0"/>
      <w:marRight w:val="0"/>
      <w:marTop w:val="0"/>
      <w:marBottom w:val="0"/>
      <w:divBdr>
        <w:top w:val="none" w:sz="0" w:space="0" w:color="auto"/>
        <w:left w:val="none" w:sz="0" w:space="0" w:color="auto"/>
        <w:bottom w:val="none" w:sz="0" w:space="0" w:color="auto"/>
        <w:right w:val="none" w:sz="0" w:space="0" w:color="auto"/>
      </w:divBdr>
      <w:divsChild>
        <w:div w:id="564293365">
          <w:marLeft w:val="0"/>
          <w:marRight w:val="0"/>
          <w:marTop w:val="0"/>
          <w:marBottom w:val="0"/>
          <w:divBdr>
            <w:top w:val="none" w:sz="0" w:space="0" w:color="auto"/>
            <w:left w:val="none" w:sz="0" w:space="0" w:color="auto"/>
            <w:bottom w:val="none" w:sz="0" w:space="0" w:color="auto"/>
            <w:right w:val="none" w:sz="0" w:space="0" w:color="auto"/>
          </w:divBdr>
        </w:div>
        <w:div w:id="1431927455">
          <w:marLeft w:val="0"/>
          <w:marRight w:val="0"/>
          <w:marTop w:val="0"/>
          <w:marBottom w:val="0"/>
          <w:divBdr>
            <w:top w:val="none" w:sz="0" w:space="0" w:color="auto"/>
            <w:left w:val="none" w:sz="0" w:space="0" w:color="auto"/>
            <w:bottom w:val="none" w:sz="0" w:space="0" w:color="auto"/>
            <w:right w:val="none" w:sz="0" w:space="0" w:color="auto"/>
          </w:divBdr>
        </w:div>
        <w:div w:id="1242255830">
          <w:marLeft w:val="0"/>
          <w:marRight w:val="0"/>
          <w:marTop w:val="0"/>
          <w:marBottom w:val="0"/>
          <w:divBdr>
            <w:top w:val="none" w:sz="0" w:space="0" w:color="auto"/>
            <w:left w:val="none" w:sz="0" w:space="0" w:color="auto"/>
            <w:bottom w:val="none" w:sz="0" w:space="0" w:color="auto"/>
            <w:right w:val="none" w:sz="0" w:space="0" w:color="auto"/>
          </w:divBdr>
        </w:div>
      </w:divsChild>
    </w:div>
    <w:div w:id="551775001">
      <w:bodyDiv w:val="1"/>
      <w:marLeft w:val="0"/>
      <w:marRight w:val="0"/>
      <w:marTop w:val="0"/>
      <w:marBottom w:val="0"/>
      <w:divBdr>
        <w:top w:val="none" w:sz="0" w:space="0" w:color="auto"/>
        <w:left w:val="none" w:sz="0" w:space="0" w:color="auto"/>
        <w:bottom w:val="none" w:sz="0" w:space="0" w:color="auto"/>
        <w:right w:val="none" w:sz="0" w:space="0" w:color="auto"/>
      </w:divBdr>
    </w:div>
    <w:div w:id="586042888">
      <w:bodyDiv w:val="1"/>
      <w:marLeft w:val="0"/>
      <w:marRight w:val="0"/>
      <w:marTop w:val="0"/>
      <w:marBottom w:val="0"/>
      <w:divBdr>
        <w:top w:val="none" w:sz="0" w:space="0" w:color="auto"/>
        <w:left w:val="none" w:sz="0" w:space="0" w:color="auto"/>
        <w:bottom w:val="none" w:sz="0" w:space="0" w:color="auto"/>
        <w:right w:val="none" w:sz="0" w:space="0" w:color="auto"/>
      </w:divBdr>
    </w:div>
    <w:div w:id="643395873">
      <w:bodyDiv w:val="1"/>
      <w:marLeft w:val="0"/>
      <w:marRight w:val="0"/>
      <w:marTop w:val="0"/>
      <w:marBottom w:val="0"/>
      <w:divBdr>
        <w:top w:val="none" w:sz="0" w:space="0" w:color="auto"/>
        <w:left w:val="none" w:sz="0" w:space="0" w:color="auto"/>
        <w:bottom w:val="none" w:sz="0" w:space="0" w:color="auto"/>
        <w:right w:val="none" w:sz="0" w:space="0" w:color="auto"/>
      </w:divBdr>
    </w:div>
    <w:div w:id="677469420">
      <w:bodyDiv w:val="1"/>
      <w:marLeft w:val="0"/>
      <w:marRight w:val="0"/>
      <w:marTop w:val="0"/>
      <w:marBottom w:val="0"/>
      <w:divBdr>
        <w:top w:val="none" w:sz="0" w:space="0" w:color="auto"/>
        <w:left w:val="none" w:sz="0" w:space="0" w:color="auto"/>
        <w:bottom w:val="none" w:sz="0" w:space="0" w:color="auto"/>
        <w:right w:val="none" w:sz="0" w:space="0" w:color="auto"/>
      </w:divBdr>
    </w:div>
    <w:div w:id="749929434">
      <w:bodyDiv w:val="1"/>
      <w:marLeft w:val="0"/>
      <w:marRight w:val="0"/>
      <w:marTop w:val="0"/>
      <w:marBottom w:val="0"/>
      <w:divBdr>
        <w:top w:val="none" w:sz="0" w:space="0" w:color="auto"/>
        <w:left w:val="none" w:sz="0" w:space="0" w:color="auto"/>
        <w:bottom w:val="none" w:sz="0" w:space="0" w:color="auto"/>
        <w:right w:val="none" w:sz="0" w:space="0" w:color="auto"/>
      </w:divBdr>
      <w:divsChild>
        <w:div w:id="1481656330">
          <w:marLeft w:val="0"/>
          <w:marRight w:val="0"/>
          <w:marTop w:val="0"/>
          <w:marBottom w:val="0"/>
          <w:divBdr>
            <w:top w:val="none" w:sz="0" w:space="0" w:color="auto"/>
            <w:left w:val="none" w:sz="0" w:space="0" w:color="auto"/>
            <w:bottom w:val="none" w:sz="0" w:space="0" w:color="auto"/>
            <w:right w:val="none" w:sz="0" w:space="0" w:color="auto"/>
          </w:divBdr>
        </w:div>
        <w:div w:id="1169323657">
          <w:marLeft w:val="0"/>
          <w:marRight w:val="0"/>
          <w:marTop w:val="0"/>
          <w:marBottom w:val="0"/>
          <w:divBdr>
            <w:top w:val="none" w:sz="0" w:space="0" w:color="auto"/>
            <w:left w:val="none" w:sz="0" w:space="0" w:color="auto"/>
            <w:bottom w:val="none" w:sz="0" w:space="0" w:color="auto"/>
            <w:right w:val="none" w:sz="0" w:space="0" w:color="auto"/>
          </w:divBdr>
        </w:div>
        <w:div w:id="32312582">
          <w:marLeft w:val="0"/>
          <w:marRight w:val="0"/>
          <w:marTop w:val="0"/>
          <w:marBottom w:val="0"/>
          <w:divBdr>
            <w:top w:val="none" w:sz="0" w:space="0" w:color="auto"/>
            <w:left w:val="none" w:sz="0" w:space="0" w:color="auto"/>
            <w:bottom w:val="none" w:sz="0" w:space="0" w:color="auto"/>
            <w:right w:val="none" w:sz="0" w:space="0" w:color="auto"/>
          </w:divBdr>
        </w:div>
      </w:divsChild>
    </w:div>
    <w:div w:id="754547041">
      <w:bodyDiv w:val="1"/>
      <w:marLeft w:val="0"/>
      <w:marRight w:val="0"/>
      <w:marTop w:val="0"/>
      <w:marBottom w:val="0"/>
      <w:divBdr>
        <w:top w:val="none" w:sz="0" w:space="0" w:color="auto"/>
        <w:left w:val="none" w:sz="0" w:space="0" w:color="auto"/>
        <w:bottom w:val="none" w:sz="0" w:space="0" w:color="auto"/>
        <w:right w:val="none" w:sz="0" w:space="0" w:color="auto"/>
      </w:divBdr>
    </w:div>
    <w:div w:id="782921931">
      <w:bodyDiv w:val="1"/>
      <w:marLeft w:val="0"/>
      <w:marRight w:val="0"/>
      <w:marTop w:val="0"/>
      <w:marBottom w:val="0"/>
      <w:divBdr>
        <w:top w:val="none" w:sz="0" w:space="0" w:color="auto"/>
        <w:left w:val="none" w:sz="0" w:space="0" w:color="auto"/>
        <w:bottom w:val="none" w:sz="0" w:space="0" w:color="auto"/>
        <w:right w:val="none" w:sz="0" w:space="0" w:color="auto"/>
      </w:divBdr>
    </w:div>
    <w:div w:id="788285308">
      <w:bodyDiv w:val="1"/>
      <w:marLeft w:val="0"/>
      <w:marRight w:val="0"/>
      <w:marTop w:val="0"/>
      <w:marBottom w:val="0"/>
      <w:divBdr>
        <w:top w:val="none" w:sz="0" w:space="0" w:color="auto"/>
        <w:left w:val="none" w:sz="0" w:space="0" w:color="auto"/>
        <w:bottom w:val="none" w:sz="0" w:space="0" w:color="auto"/>
        <w:right w:val="none" w:sz="0" w:space="0" w:color="auto"/>
      </w:divBdr>
    </w:div>
    <w:div w:id="827748296">
      <w:bodyDiv w:val="1"/>
      <w:marLeft w:val="0"/>
      <w:marRight w:val="0"/>
      <w:marTop w:val="0"/>
      <w:marBottom w:val="0"/>
      <w:divBdr>
        <w:top w:val="none" w:sz="0" w:space="0" w:color="auto"/>
        <w:left w:val="none" w:sz="0" w:space="0" w:color="auto"/>
        <w:bottom w:val="none" w:sz="0" w:space="0" w:color="auto"/>
        <w:right w:val="none" w:sz="0" w:space="0" w:color="auto"/>
      </w:divBdr>
    </w:div>
    <w:div w:id="856426742">
      <w:bodyDiv w:val="1"/>
      <w:marLeft w:val="0"/>
      <w:marRight w:val="0"/>
      <w:marTop w:val="0"/>
      <w:marBottom w:val="0"/>
      <w:divBdr>
        <w:top w:val="none" w:sz="0" w:space="0" w:color="auto"/>
        <w:left w:val="none" w:sz="0" w:space="0" w:color="auto"/>
        <w:bottom w:val="none" w:sz="0" w:space="0" w:color="auto"/>
        <w:right w:val="none" w:sz="0" w:space="0" w:color="auto"/>
      </w:divBdr>
    </w:div>
    <w:div w:id="886449711">
      <w:bodyDiv w:val="1"/>
      <w:marLeft w:val="0"/>
      <w:marRight w:val="0"/>
      <w:marTop w:val="0"/>
      <w:marBottom w:val="0"/>
      <w:divBdr>
        <w:top w:val="none" w:sz="0" w:space="0" w:color="auto"/>
        <w:left w:val="none" w:sz="0" w:space="0" w:color="auto"/>
        <w:bottom w:val="none" w:sz="0" w:space="0" w:color="auto"/>
        <w:right w:val="none" w:sz="0" w:space="0" w:color="auto"/>
      </w:divBdr>
    </w:div>
    <w:div w:id="907570779">
      <w:bodyDiv w:val="1"/>
      <w:marLeft w:val="0"/>
      <w:marRight w:val="0"/>
      <w:marTop w:val="0"/>
      <w:marBottom w:val="0"/>
      <w:divBdr>
        <w:top w:val="none" w:sz="0" w:space="0" w:color="auto"/>
        <w:left w:val="none" w:sz="0" w:space="0" w:color="auto"/>
        <w:bottom w:val="none" w:sz="0" w:space="0" w:color="auto"/>
        <w:right w:val="none" w:sz="0" w:space="0" w:color="auto"/>
      </w:divBdr>
    </w:div>
    <w:div w:id="915821431">
      <w:bodyDiv w:val="1"/>
      <w:marLeft w:val="0"/>
      <w:marRight w:val="0"/>
      <w:marTop w:val="0"/>
      <w:marBottom w:val="0"/>
      <w:divBdr>
        <w:top w:val="none" w:sz="0" w:space="0" w:color="auto"/>
        <w:left w:val="none" w:sz="0" w:space="0" w:color="auto"/>
        <w:bottom w:val="none" w:sz="0" w:space="0" w:color="auto"/>
        <w:right w:val="none" w:sz="0" w:space="0" w:color="auto"/>
      </w:divBdr>
    </w:div>
    <w:div w:id="1088236835">
      <w:bodyDiv w:val="1"/>
      <w:marLeft w:val="0"/>
      <w:marRight w:val="0"/>
      <w:marTop w:val="0"/>
      <w:marBottom w:val="0"/>
      <w:divBdr>
        <w:top w:val="none" w:sz="0" w:space="0" w:color="auto"/>
        <w:left w:val="none" w:sz="0" w:space="0" w:color="auto"/>
        <w:bottom w:val="none" w:sz="0" w:space="0" w:color="auto"/>
        <w:right w:val="none" w:sz="0" w:space="0" w:color="auto"/>
      </w:divBdr>
    </w:div>
    <w:div w:id="1105152054">
      <w:bodyDiv w:val="1"/>
      <w:marLeft w:val="0"/>
      <w:marRight w:val="0"/>
      <w:marTop w:val="0"/>
      <w:marBottom w:val="0"/>
      <w:divBdr>
        <w:top w:val="none" w:sz="0" w:space="0" w:color="auto"/>
        <w:left w:val="none" w:sz="0" w:space="0" w:color="auto"/>
        <w:bottom w:val="none" w:sz="0" w:space="0" w:color="auto"/>
        <w:right w:val="none" w:sz="0" w:space="0" w:color="auto"/>
      </w:divBdr>
    </w:div>
    <w:div w:id="1148550466">
      <w:bodyDiv w:val="1"/>
      <w:marLeft w:val="0"/>
      <w:marRight w:val="0"/>
      <w:marTop w:val="0"/>
      <w:marBottom w:val="0"/>
      <w:divBdr>
        <w:top w:val="none" w:sz="0" w:space="0" w:color="auto"/>
        <w:left w:val="none" w:sz="0" w:space="0" w:color="auto"/>
        <w:bottom w:val="none" w:sz="0" w:space="0" w:color="auto"/>
        <w:right w:val="none" w:sz="0" w:space="0" w:color="auto"/>
      </w:divBdr>
    </w:div>
    <w:div w:id="1156453448">
      <w:bodyDiv w:val="1"/>
      <w:marLeft w:val="0"/>
      <w:marRight w:val="0"/>
      <w:marTop w:val="0"/>
      <w:marBottom w:val="0"/>
      <w:divBdr>
        <w:top w:val="none" w:sz="0" w:space="0" w:color="auto"/>
        <w:left w:val="none" w:sz="0" w:space="0" w:color="auto"/>
        <w:bottom w:val="none" w:sz="0" w:space="0" w:color="auto"/>
        <w:right w:val="none" w:sz="0" w:space="0" w:color="auto"/>
      </w:divBdr>
    </w:div>
    <w:div w:id="1164785849">
      <w:bodyDiv w:val="1"/>
      <w:marLeft w:val="0"/>
      <w:marRight w:val="0"/>
      <w:marTop w:val="0"/>
      <w:marBottom w:val="0"/>
      <w:divBdr>
        <w:top w:val="none" w:sz="0" w:space="0" w:color="auto"/>
        <w:left w:val="none" w:sz="0" w:space="0" w:color="auto"/>
        <w:bottom w:val="none" w:sz="0" w:space="0" w:color="auto"/>
        <w:right w:val="none" w:sz="0" w:space="0" w:color="auto"/>
      </w:divBdr>
    </w:div>
    <w:div w:id="1176770508">
      <w:bodyDiv w:val="1"/>
      <w:marLeft w:val="0"/>
      <w:marRight w:val="0"/>
      <w:marTop w:val="0"/>
      <w:marBottom w:val="0"/>
      <w:divBdr>
        <w:top w:val="none" w:sz="0" w:space="0" w:color="auto"/>
        <w:left w:val="none" w:sz="0" w:space="0" w:color="auto"/>
        <w:bottom w:val="none" w:sz="0" w:space="0" w:color="auto"/>
        <w:right w:val="none" w:sz="0" w:space="0" w:color="auto"/>
      </w:divBdr>
    </w:div>
    <w:div w:id="1201551110">
      <w:bodyDiv w:val="1"/>
      <w:marLeft w:val="0"/>
      <w:marRight w:val="0"/>
      <w:marTop w:val="0"/>
      <w:marBottom w:val="0"/>
      <w:divBdr>
        <w:top w:val="none" w:sz="0" w:space="0" w:color="auto"/>
        <w:left w:val="none" w:sz="0" w:space="0" w:color="auto"/>
        <w:bottom w:val="none" w:sz="0" w:space="0" w:color="auto"/>
        <w:right w:val="none" w:sz="0" w:space="0" w:color="auto"/>
      </w:divBdr>
    </w:div>
    <w:div w:id="1218514821">
      <w:bodyDiv w:val="1"/>
      <w:marLeft w:val="0"/>
      <w:marRight w:val="0"/>
      <w:marTop w:val="0"/>
      <w:marBottom w:val="0"/>
      <w:divBdr>
        <w:top w:val="none" w:sz="0" w:space="0" w:color="auto"/>
        <w:left w:val="none" w:sz="0" w:space="0" w:color="auto"/>
        <w:bottom w:val="none" w:sz="0" w:space="0" w:color="auto"/>
        <w:right w:val="none" w:sz="0" w:space="0" w:color="auto"/>
      </w:divBdr>
    </w:div>
    <w:div w:id="1242914383">
      <w:bodyDiv w:val="1"/>
      <w:marLeft w:val="0"/>
      <w:marRight w:val="0"/>
      <w:marTop w:val="0"/>
      <w:marBottom w:val="0"/>
      <w:divBdr>
        <w:top w:val="none" w:sz="0" w:space="0" w:color="auto"/>
        <w:left w:val="none" w:sz="0" w:space="0" w:color="auto"/>
        <w:bottom w:val="none" w:sz="0" w:space="0" w:color="auto"/>
        <w:right w:val="none" w:sz="0" w:space="0" w:color="auto"/>
      </w:divBdr>
    </w:div>
    <w:div w:id="1335842328">
      <w:bodyDiv w:val="1"/>
      <w:marLeft w:val="0"/>
      <w:marRight w:val="0"/>
      <w:marTop w:val="0"/>
      <w:marBottom w:val="0"/>
      <w:divBdr>
        <w:top w:val="none" w:sz="0" w:space="0" w:color="auto"/>
        <w:left w:val="none" w:sz="0" w:space="0" w:color="auto"/>
        <w:bottom w:val="none" w:sz="0" w:space="0" w:color="auto"/>
        <w:right w:val="none" w:sz="0" w:space="0" w:color="auto"/>
      </w:divBdr>
    </w:div>
    <w:div w:id="1345979301">
      <w:bodyDiv w:val="1"/>
      <w:marLeft w:val="0"/>
      <w:marRight w:val="0"/>
      <w:marTop w:val="0"/>
      <w:marBottom w:val="0"/>
      <w:divBdr>
        <w:top w:val="none" w:sz="0" w:space="0" w:color="auto"/>
        <w:left w:val="none" w:sz="0" w:space="0" w:color="auto"/>
        <w:bottom w:val="none" w:sz="0" w:space="0" w:color="auto"/>
        <w:right w:val="none" w:sz="0" w:space="0" w:color="auto"/>
      </w:divBdr>
    </w:div>
    <w:div w:id="1398895787">
      <w:bodyDiv w:val="1"/>
      <w:marLeft w:val="0"/>
      <w:marRight w:val="0"/>
      <w:marTop w:val="0"/>
      <w:marBottom w:val="0"/>
      <w:divBdr>
        <w:top w:val="none" w:sz="0" w:space="0" w:color="auto"/>
        <w:left w:val="none" w:sz="0" w:space="0" w:color="auto"/>
        <w:bottom w:val="none" w:sz="0" w:space="0" w:color="auto"/>
        <w:right w:val="none" w:sz="0" w:space="0" w:color="auto"/>
      </w:divBdr>
    </w:div>
    <w:div w:id="1440102970">
      <w:bodyDiv w:val="1"/>
      <w:marLeft w:val="0"/>
      <w:marRight w:val="0"/>
      <w:marTop w:val="0"/>
      <w:marBottom w:val="0"/>
      <w:divBdr>
        <w:top w:val="none" w:sz="0" w:space="0" w:color="auto"/>
        <w:left w:val="none" w:sz="0" w:space="0" w:color="auto"/>
        <w:bottom w:val="none" w:sz="0" w:space="0" w:color="auto"/>
        <w:right w:val="none" w:sz="0" w:space="0" w:color="auto"/>
      </w:divBdr>
    </w:div>
    <w:div w:id="1456680529">
      <w:bodyDiv w:val="1"/>
      <w:marLeft w:val="0"/>
      <w:marRight w:val="0"/>
      <w:marTop w:val="0"/>
      <w:marBottom w:val="0"/>
      <w:divBdr>
        <w:top w:val="none" w:sz="0" w:space="0" w:color="auto"/>
        <w:left w:val="none" w:sz="0" w:space="0" w:color="auto"/>
        <w:bottom w:val="none" w:sz="0" w:space="0" w:color="auto"/>
        <w:right w:val="none" w:sz="0" w:space="0" w:color="auto"/>
      </w:divBdr>
    </w:div>
    <w:div w:id="1505977582">
      <w:bodyDiv w:val="1"/>
      <w:marLeft w:val="0"/>
      <w:marRight w:val="0"/>
      <w:marTop w:val="0"/>
      <w:marBottom w:val="0"/>
      <w:divBdr>
        <w:top w:val="none" w:sz="0" w:space="0" w:color="auto"/>
        <w:left w:val="none" w:sz="0" w:space="0" w:color="auto"/>
        <w:bottom w:val="none" w:sz="0" w:space="0" w:color="auto"/>
        <w:right w:val="none" w:sz="0" w:space="0" w:color="auto"/>
      </w:divBdr>
    </w:div>
    <w:div w:id="1528788235">
      <w:bodyDiv w:val="1"/>
      <w:marLeft w:val="0"/>
      <w:marRight w:val="0"/>
      <w:marTop w:val="0"/>
      <w:marBottom w:val="0"/>
      <w:divBdr>
        <w:top w:val="none" w:sz="0" w:space="0" w:color="auto"/>
        <w:left w:val="none" w:sz="0" w:space="0" w:color="auto"/>
        <w:bottom w:val="none" w:sz="0" w:space="0" w:color="auto"/>
        <w:right w:val="none" w:sz="0" w:space="0" w:color="auto"/>
      </w:divBdr>
    </w:div>
    <w:div w:id="1613978991">
      <w:bodyDiv w:val="1"/>
      <w:marLeft w:val="0"/>
      <w:marRight w:val="0"/>
      <w:marTop w:val="0"/>
      <w:marBottom w:val="0"/>
      <w:divBdr>
        <w:top w:val="none" w:sz="0" w:space="0" w:color="auto"/>
        <w:left w:val="none" w:sz="0" w:space="0" w:color="auto"/>
        <w:bottom w:val="none" w:sz="0" w:space="0" w:color="auto"/>
        <w:right w:val="none" w:sz="0" w:space="0" w:color="auto"/>
      </w:divBdr>
    </w:div>
    <w:div w:id="1623338357">
      <w:bodyDiv w:val="1"/>
      <w:marLeft w:val="0"/>
      <w:marRight w:val="0"/>
      <w:marTop w:val="0"/>
      <w:marBottom w:val="0"/>
      <w:divBdr>
        <w:top w:val="none" w:sz="0" w:space="0" w:color="auto"/>
        <w:left w:val="none" w:sz="0" w:space="0" w:color="auto"/>
        <w:bottom w:val="none" w:sz="0" w:space="0" w:color="auto"/>
        <w:right w:val="none" w:sz="0" w:space="0" w:color="auto"/>
      </w:divBdr>
    </w:div>
    <w:div w:id="1704938942">
      <w:bodyDiv w:val="1"/>
      <w:marLeft w:val="0"/>
      <w:marRight w:val="0"/>
      <w:marTop w:val="0"/>
      <w:marBottom w:val="0"/>
      <w:divBdr>
        <w:top w:val="none" w:sz="0" w:space="0" w:color="auto"/>
        <w:left w:val="none" w:sz="0" w:space="0" w:color="auto"/>
        <w:bottom w:val="none" w:sz="0" w:space="0" w:color="auto"/>
        <w:right w:val="none" w:sz="0" w:space="0" w:color="auto"/>
      </w:divBdr>
    </w:div>
    <w:div w:id="1728645948">
      <w:bodyDiv w:val="1"/>
      <w:marLeft w:val="0"/>
      <w:marRight w:val="0"/>
      <w:marTop w:val="0"/>
      <w:marBottom w:val="0"/>
      <w:divBdr>
        <w:top w:val="none" w:sz="0" w:space="0" w:color="auto"/>
        <w:left w:val="none" w:sz="0" w:space="0" w:color="auto"/>
        <w:bottom w:val="none" w:sz="0" w:space="0" w:color="auto"/>
        <w:right w:val="none" w:sz="0" w:space="0" w:color="auto"/>
      </w:divBdr>
    </w:div>
    <w:div w:id="1755660365">
      <w:bodyDiv w:val="1"/>
      <w:marLeft w:val="0"/>
      <w:marRight w:val="0"/>
      <w:marTop w:val="0"/>
      <w:marBottom w:val="0"/>
      <w:divBdr>
        <w:top w:val="none" w:sz="0" w:space="0" w:color="auto"/>
        <w:left w:val="none" w:sz="0" w:space="0" w:color="auto"/>
        <w:bottom w:val="none" w:sz="0" w:space="0" w:color="auto"/>
        <w:right w:val="none" w:sz="0" w:space="0" w:color="auto"/>
      </w:divBdr>
      <w:divsChild>
        <w:div w:id="1154957257">
          <w:marLeft w:val="0"/>
          <w:marRight w:val="0"/>
          <w:marTop w:val="0"/>
          <w:marBottom w:val="0"/>
          <w:divBdr>
            <w:top w:val="none" w:sz="0" w:space="0" w:color="auto"/>
            <w:left w:val="none" w:sz="0" w:space="0" w:color="auto"/>
            <w:bottom w:val="none" w:sz="0" w:space="0" w:color="auto"/>
            <w:right w:val="none" w:sz="0" w:space="0" w:color="auto"/>
          </w:divBdr>
        </w:div>
        <w:div w:id="314072144">
          <w:marLeft w:val="0"/>
          <w:marRight w:val="0"/>
          <w:marTop w:val="0"/>
          <w:marBottom w:val="0"/>
          <w:divBdr>
            <w:top w:val="none" w:sz="0" w:space="0" w:color="auto"/>
            <w:left w:val="none" w:sz="0" w:space="0" w:color="auto"/>
            <w:bottom w:val="none" w:sz="0" w:space="0" w:color="auto"/>
            <w:right w:val="none" w:sz="0" w:space="0" w:color="auto"/>
          </w:divBdr>
        </w:div>
        <w:div w:id="462845659">
          <w:marLeft w:val="0"/>
          <w:marRight w:val="0"/>
          <w:marTop w:val="0"/>
          <w:marBottom w:val="0"/>
          <w:divBdr>
            <w:top w:val="none" w:sz="0" w:space="0" w:color="auto"/>
            <w:left w:val="none" w:sz="0" w:space="0" w:color="auto"/>
            <w:bottom w:val="none" w:sz="0" w:space="0" w:color="auto"/>
            <w:right w:val="none" w:sz="0" w:space="0" w:color="auto"/>
          </w:divBdr>
        </w:div>
      </w:divsChild>
    </w:div>
    <w:div w:id="1781684254">
      <w:bodyDiv w:val="1"/>
      <w:marLeft w:val="0"/>
      <w:marRight w:val="0"/>
      <w:marTop w:val="0"/>
      <w:marBottom w:val="0"/>
      <w:divBdr>
        <w:top w:val="none" w:sz="0" w:space="0" w:color="auto"/>
        <w:left w:val="none" w:sz="0" w:space="0" w:color="auto"/>
        <w:bottom w:val="none" w:sz="0" w:space="0" w:color="auto"/>
        <w:right w:val="none" w:sz="0" w:space="0" w:color="auto"/>
      </w:divBdr>
    </w:div>
    <w:div w:id="1960257311">
      <w:bodyDiv w:val="1"/>
      <w:marLeft w:val="0"/>
      <w:marRight w:val="0"/>
      <w:marTop w:val="0"/>
      <w:marBottom w:val="0"/>
      <w:divBdr>
        <w:top w:val="none" w:sz="0" w:space="0" w:color="auto"/>
        <w:left w:val="none" w:sz="0" w:space="0" w:color="auto"/>
        <w:bottom w:val="none" w:sz="0" w:space="0" w:color="auto"/>
        <w:right w:val="none" w:sz="0" w:space="0" w:color="auto"/>
      </w:divBdr>
    </w:div>
    <w:div w:id="2023824555">
      <w:bodyDiv w:val="1"/>
      <w:marLeft w:val="0"/>
      <w:marRight w:val="0"/>
      <w:marTop w:val="0"/>
      <w:marBottom w:val="0"/>
      <w:divBdr>
        <w:top w:val="none" w:sz="0" w:space="0" w:color="auto"/>
        <w:left w:val="none" w:sz="0" w:space="0" w:color="auto"/>
        <w:bottom w:val="none" w:sz="0" w:space="0" w:color="auto"/>
        <w:right w:val="none" w:sz="0" w:space="0" w:color="auto"/>
      </w:divBdr>
    </w:div>
    <w:div w:id="2024672900">
      <w:bodyDiv w:val="1"/>
      <w:marLeft w:val="0"/>
      <w:marRight w:val="0"/>
      <w:marTop w:val="0"/>
      <w:marBottom w:val="0"/>
      <w:divBdr>
        <w:top w:val="none" w:sz="0" w:space="0" w:color="auto"/>
        <w:left w:val="none" w:sz="0" w:space="0" w:color="auto"/>
        <w:bottom w:val="none" w:sz="0" w:space="0" w:color="auto"/>
        <w:right w:val="none" w:sz="0" w:space="0" w:color="auto"/>
      </w:divBdr>
    </w:div>
    <w:div w:id="203838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diev1962@inbox.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qmp.openface.ca/rtecontent/document/CG_V2004.pdf" TargetMode="Externa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urgunova_tstu@mail.ru" TargetMode="Externa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mailto:sulaymonov_2020@b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oltaev_o@tstu.uz"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3F994-9460-492C-8B27-FC0EED9E5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2378</Words>
  <Characters>13556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Talipov Miraziz</cp:lastModifiedBy>
  <cp:revision>3</cp:revision>
  <dcterms:created xsi:type="dcterms:W3CDTF">2025-08-17T16:57:00Z</dcterms:created>
  <dcterms:modified xsi:type="dcterms:W3CDTF">2025-09-10T06:56:00Z</dcterms:modified>
</cp:coreProperties>
</file>