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F609A05" w14:textId="72C74FA3" w:rsidR="00274BE6" w:rsidRPr="00EE7BE9" w:rsidRDefault="00A417CA" w:rsidP="00EE7BE9">
      <w:pPr>
        <w:keepNext/>
        <w:keepLines/>
        <w:tabs>
          <w:tab w:val="left" w:pos="284"/>
        </w:tabs>
        <w:spacing w:before="1200"/>
        <w:jc w:val="center"/>
        <w:rPr>
          <w:sz w:val="36"/>
          <w:szCs w:val="36"/>
        </w:rPr>
      </w:pPr>
      <w:r w:rsidRPr="00EE7BE9">
        <w:rPr>
          <w:rFonts w:eastAsia="Times"/>
          <w:b/>
          <w:sz w:val="36"/>
          <w:szCs w:val="36"/>
        </w:rPr>
        <w:t xml:space="preserve">Improvement </w:t>
      </w:r>
      <w:r w:rsidR="00EE7BE9">
        <w:rPr>
          <w:rFonts w:eastAsia="Times"/>
          <w:b/>
          <w:sz w:val="36"/>
          <w:szCs w:val="36"/>
          <w:lang w:val="en-US"/>
        </w:rPr>
        <w:t>o</w:t>
      </w:r>
      <w:r w:rsidR="00EE7BE9" w:rsidRPr="00EE7BE9">
        <w:rPr>
          <w:rFonts w:eastAsia="Times"/>
          <w:b/>
          <w:sz w:val="36"/>
          <w:szCs w:val="36"/>
        </w:rPr>
        <w:t xml:space="preserve">f Efficiency </w:t>
      </w:r>
      <w:r w:rsidR="00EE7BE9">
        <w:rPr>
          <w:rFonts w:eastAsia="Times"/>
          <w:b/>
          <w:sz w:val="36"/>
          <w:szCs w:val="36"/>
        </w:rPr>
        <w:t>a</w:t>
      </w:r>
      <w:r w:rsidR="00EE7BE9" w:rsidRPr="00EE7BE9">
        <w:rPr>
          <w:rFonts w:eastAsia="Times"/>
          <w:b/>
          <w:sz w:val="36"/>
          <w:szCs w:val="36"/>
        </w:rPr>
        <w:t xml:space="preserve">nd Environmental Friendliness </w:t>
      </w:r>
      <w:r w:rsidR="00EE7BE9">
        <w:rPr>
          <w:rFonts w:eastAsia="Times"/>
          <w:b/>
          <w:sz w:val="36"/>
          <w:szCs w:val="36"/>
        </w:rPr>
        <w:t>o</w:t>
      </w:r>
      <w:r w:rsidR="00EE7BE9" w:rsidRPr="00EE7BE9">
        <w:rPr>
          <w:rFonts w:eastAsia="Times"/>
          <w:b/>
          <w:sz w:val="36"/>
          <w:szCs w:val="36"/>
        </w:rPr>
        <w:t xml:space="preserve">f Internal Combustion Engines </w:t>
      </w:r>
      <w:r w:rsidR="00EE7BE9">
        <w:rPr>
          <w:rFonts w:eastAsia="Times"/>
          <w:b/>
          <w:sz w:val="36"/>
          <w:szCs w:val="36"/>
        </w:rPr>
        <w:t>b</w:t>
      </w:r>
      <w:r w:rsidR="00EE7BE9" w:rsidRPr="00EE7BE9">
        <w:rPr>
          <w:rFonts w:eastAsia="Times"/>
          <w:b/>
          <w:sz w:val="36"/>
          <w:szCs w:val="36"/>
        </w:rPr>
        <w:t>y Adding Gasoline-Hydrogen Mixture</w:t>
      </w:r>
    </w:p>
    <w:p w14:paraId="4158166D" w14:textId="20B179A5" w:rsidR="00D52666" w:rsidRPr="00EE7BE9" w:rsidRDefault="00EE7BE9" w:rsidP="00EE7BE9">
      <w:pPr>
        <w:spacing w:before="360" w:after="360"/>
        <w:jc w:val="center"/>
        <w:rPr>
          <w:rFonts w:eastAsia="Times"/>
          <w:sz w:val="28"/>
          <w:szCs w:val="28"/>
          <w:vertAlign w:val="superscript"/>
        </w:rPr>
      </w:pPr>
      <w:r w:rsidRPr="00EE7BE9">
        <w:rPr>
          <w:rFonts w:eastAsia="Times"/>
          <w:sz w:val="28"/>
          <w:szCs w:val="28"/>
        </w:rPr>
        <w:t xml:space="preserve">Zebo </w:t>
      </w:r>
      <w:r w:rsidR="00A417CA" w:rsidRPr="00EE7BE9">
        <w:rPr>
          <w:rFonts w:eastAsia="Times"/>
          <w:sz w:val="28"/>
          <w:szCs w:val="28"/>
        </w:rPr>
        <w:t>Alimova</w:t>
      </w:r>
      <w:r w:rsidR="00D52666" w:rsidRPr="00EE7BE9">
        <w:rPr>
          <w:rFonts w:eastAsia="Times"/>
          <w:sz w:val="28"/>
          <w:szCs w:val="28"/>
          <w:vertAlign w:val="superscript"/>
        </w:rPr>
        <w:t>1</w:t>
      </w:r>
      <w:r>
        <w:rPr>
          <w:rFonts w:eastAsia="Times"/>
          <w:sz w:val="28"/>
          <w:szCs w:val="28"/>
          <w:vertAlign w:val="superscript"/>
        </w:rPr>
        <w:t>, a)</w:t>
      </w:r>
      <w:r w:rsidR="00D52666" w:rsidRPr="00EE7BE9">
        <w:rPr>
          <w:rFonts w:eastAsia="Times"/>
          <w:sz w:val="28"/>
          <w:szCs w:val="28"/>
        </w:rPr>
        <w:t xml:space="preserve">, </w:t>
      </w:r>
      <w:r w:rsidRPr="00EE7BE9">
        <w:rPr>
          <w:rFonts w:eastAsia="Times"/>
          <w:sz w:val="28"/>
          <w:szCs w:val="28"/>
        </w:rPr>
        <w:t xml:space="preserve">Ravshan </w:t>
      </w:r>
      <w:r w:rsidR="00D52666" w:rsidRPr="00EE7BE9">
        <w:rPr>
          <w:rFonts w:eastAsia="Times"/>
          <w:sz w:val="28"/>
          <w:szCs w:val="28"/>
        </w:rPr>
        <w:t>Khikmatov</w:t>
      </w:r>
      <w:r>
        <w:rPr>
          <w:rFonts w:eastAsia="Times"/>
          <w:sz w:val="28"/>
          <w:szCs w:val="28"/>
          <w:vertAlign w:val="superscript"/>
        </w:rPr>
        <w:t>1, b)</w:t>
      </w:r>
      <w:r>
        <w:rPr>
          <w:rFonts w:eastAsia="Times"/>
          <w:sz w:val="28"/>
          <w:szCs w:val="28"/>
        </w:rPr>
        <w:t xml:space="preserve"> and</w:t>
      </w:r>
      <w:r w:rsidR="00D52666" w:rsidRPr="00EE7BE9">
        <w:rPr>
          <w:rFonts w:eastAsia="Times"/>
          <w:sz w:val="28"/>
          <w:szCs w:val="28"/>
        </w:rPr>
        <w:t xml:space="preserve"> </w:t>
      </w:r>
      <w:r w:rsidRPr="00EE7BE9">
        <w:rPr>
          <w:rFonts w:eastAsia="Times"/>
          <w:sz w:val="28"/>
          <w:szCs w:val="28"/>
        </w:rPr>
        <w:t xml:space="preserve">Alisher </w:t>
      </w:r>
      <w:r w:rsidR="00A417CA" w:rsidRPr="00EE7BE9">
        <w:rPr>
          <w:rFonts w:eastAsia="Times"/>
          <w:sz w:val="28"/>
          <w:szCs w:val="28"/>
        </w:rPr>
        <w:t>Saidumarov</w:t>
      </w:r>
      <w:r w:rsidR="001B3991">
        <w:rPr>
          <w:rFonts w:eastAsia="Times"/>
          <w:sz w:val="28"/>
          <w:szCs w:val="28"/>
          <w:vertAlign w:val="superscript"/>
          <w:lang w:val="uz-Cyrl-UZ"/>
        </w:rPr>
        <w:t>2</w:t>
      </w:r>
      <w:r>
        <w:rPr>
          <w:rFonts w:eastAsia="Times"/>
          <w:sz w:val="28"/>
          <w:szCs w:val="28"/>
          <w:vertAlign w:val="superscript"/>
        </w:rPr>
        <w:t>, c)</w:t>
      </w:r>
    </w:p>
    <w:p w14:paraId="272FB637" w14:textId="23C1D233" w:rsidR="00EE7BE9" w:rsidRPr="001B3991" w:rsidRDefault="00EE7BE9" w:rsidP="001B3991">
      <w:pPr>
        <w:jc w:val="center"/>
      </w:pPr>
      <w:bookmarkStart w:id="0" w:name="_Hlk207025474"/>
      <w:bookmarkStart w:id="1" w:name="_Hlk207101151"/>
      <w:r w:rsidRPr="00C873F9">
        <w:rPr>
          <w:bCs/>
          <w:vertAlign w:val="superscript"/>
          <w:lang w:val="en-US"/>
        </w:rPr>
        <w:t>1</w:t>
      </w:r>
      <w:r w:rsidRPr="00C873F9">
        <w:rPr>
          <w:bCs/>
          <w:i/>
          <w:iCs/>
          <w:lang w:val="en-US"/>
        </w:rPr>
        <w:t xml:space="preserve">Tashkent State Transport University, 1 </w:t>
      </w:r>
      <w:proofErr w:type="spellStart"/>
      <w:r w:rsidRPr="00C873F9">
        <w:rPr>
          <w:bCs/>
          <w:i/>
          <w:iCs/>
          <w:lang w:val="en-US"/>
        </w:rPr>
        <w:t>Temiryulchilar</w:t>
      </w:r>
      <w:proofErr w:type="spellEnd"/>
      <w:r w:rsidRPr="00C873F9">
        <w:rPr>
          <w:bCs/>
          <w:i/>
          <w:iCs/>
          <w:lang w:val="en-US"/>
        </w:rPr>
        <w:t xml:space="preserve"> St., Tashkent 100167, Uzbekistan</w:t>
      </w:r>
      <w:bookmarkEnd w:id="0"/>
      <w:r>
        <w:rPr>
          <w:bCs/>
          <w:i/>
          <w:iCs/>
          <w:lang w:val="en-US"/>
        </w:rPr>
        <w:br/>
      </w:r>
      <w:bookmarkEnd w:id="1"/>
      <w:r w:rsidR="001B3991" w:rsidRPr="001B3991">
        <w:rPr>
          <w:vertAlign w:val="superscript"/>
          <w:lang w:val="uz-Cyrl-UZ"/>
        </w:rPr>
        <w:t>2</w:t>
      </w:r>
      <w:r w:rsidR="001B3991" w:rsidRPr="001B3991">
        <w:rPr>
          <w:i/>
          <w:iCs/>
        </w:rPr>
        <w:t>Transport Research Center LLC, Ministry of Transport of the Republic of Uzbekistan, 3 Zulfiya Street, Tashkent, 100</w:t>
      </w:r>
      <w:r w:rsidR="001B3991">
        <w:rPr>
          <w:i/>
          <w:iCs/>
          <w:lang w:val="uz-Cyrl-UZ"/>
        </w:rPr>
        <w:t>128</w:t>
      </w:r>
      <w:r w:rsidR="001B3991" w:rsidRPr="001B3991">
        <w:rPr>
          <w:i/>
          <w:iCs/>
        </w:rPr>
        <w:t>, Uzbekistan</w:t>
      </w:r>
    </w:p>
    <w:p w14:paraId="5994B489" w14:textId="3B9A3150" w:rsidR="00274BE6" w:rsidRPr="00D30C9A" w:rsidRDefault="00D30C9A" w:rsidP="00EE7BE9">
      <w:pPr>
        <w:spacing w:before="360" w:after="360"/>
        <w:jc w:val="center"/>
        <w:rPr>
          <w:i/>
          <w:iCs/>
          <w:color w:val="auto"/>
        </w:rPr>
      </w:pPr>
      <w:r w:rsidRPr="00D30C9A">
        <w:rPr>
          <w:i/>
          <w:iCs/>
          <w:color w:val="auto"/>
          <w:vertAlign w:val="superscript"/>
          <w:lang w:val="en-US"/>
        </w:rPr>
        <w:t>a)</w:t>
      </w:r>
      <w:r w:rsidRPr="00D30C9A">
        <w:rPr>
          <w:i/>
          <w:iCs/>
          <w:color w:val="auto"/>
          <w:lang w:val="en-US"/>
        </w:rPr>
        <w:t xml:space="preserve"> Corresponding author: </w:t>
      </w:r>
      <w:bookmarkStart w:id="2" w:name="_Hlk201071464"/>
      <w:r w:rsidRPr="00051449">
        <w:rPr>
          <w:rFonts w:eastAsia="Times"/>
          <w:i/>
          <w:iCs/>
          <w:color w:val="000000" w:themeColor="text1"/>
        </w:rPr>
        <w:fldChar w:fldCharType="begin"/>
      </w:r>
      <w:r w:rsidRPr="00051449">
        <w:rPr>
          <w:rFonts w:eastAsia="Times"/>
          <w:i/>
          <w:iCs/>
          <w:color w:val="000000" w:themeColor="text1"/>
        </w:rPr>
        <w:instrText xml:space="preserve"> HYPERLINK "mailto:zeboalimova7841@mail.ru" </w:instrText>
      </w:r>
      <w:r w:rsidRPr="00051449">
        <w:rPr>
          <w:rFonts w:eastAsia="Times"/>
          <w:i/>
          <w:iCs/>
          <w:color w:val="000000" w:themeColor="text1"/>
        </w:rPr>
        <w:fldChar w:fldCharType="separate"/>
      </w:r>
      <w:r w:rsidRPr="00051449">
        <w:rPr>
          <w:rStyle w:val="a7"/>
          <w:rFonts w:eastAsia="Times"/>
          <w:i/>
          <w:iCs/>
          <w:color w:val="000000" w:themeColor="text1"/>
          <w:u w:val="none"/>
        </w:rPr>
        <w:t>zeboalimova7841@mail.ru</w:t>
      </w:r>
      <w:bookmarkEnd w:id="2"/>
      <w:r w:rsidRPr="00051449">
        <w:rPr>
          <w:rFonts w:eastAsia="Times"/>
          <w:i/>
          <w:iCs/>
          <w:color w:val="000000" w:themeColor="text1"/>
        </w:rPr>
        <w:fldChar w:fldCharType="end"/>
      </w:r>
      <w:r w:rsidRPr="00D30C9A">
        <w:rPr>
          <w:rStyle w:val="a7"/>
          <w:rFonts w:eastAsia="Times"/>
          <w:i/>
          <w:iCs/>
          <w:color w:val="auto"/>
          <w:u w:val="none"/>
        </w:rPr>
        <w:br/>
      </w:r>
      <w:r w:rsidRPr="00D30C9A">
        <w:rPr>
          <w:rFonts w:eastAsia="Times"/>
          <w:i/>
          <w:iCs/>
          <w:color w:val="auto"/>
          <w:vertAlign w:val="superscript"/>
        </w:rPr>
        <w:t>b)</w:t>
      </w:r>
      <w:r w:rsidR="00EA53C5" w:rsidRPr="00D30C9A">
        <w:rPr>
          <w:rFonts w:eastAsia="Times"/>
          <w:i/>
          <w:iCs/>
          <w:color w:val="auto"/>
        </w:rPr>
        <w:t xml:space="preserve"> </w:t>
      </w:r>
      <w:hyperlink r:id="rId7" w:history="1">
        <w:r w:rsidR="003E1813" w:rsidRPr="00D30C9A">
          <w:rPr>
            <w:rStyle w:val="a7"/>
            <w:rFonts w:eastAsia="Times"/>
            <w:i/>
            <w:iCs/>
            <w:color w:val="auto"/>
            <w:u w:val="none"/>
          </w:rPr>
          <w:t>ravshan_khikmatov@mail.ru</w:t>
        </w:r>
      </w:hyperlink>
      <w:r w:rsidRPr="00D30C9A">
        <w:rPr>
          <w:rStyle w:val="a7"/>
          <w:rFonts w:eastAsia="Times"/>
          <w:i/>
          <w:iCs/>
          <w:color w:val="auto"/>
          <w:u w:val="none"/>
        </w:rPr>
        <w:br/>
      </w:r>
      <w:r w:rsidRPr="00D30C9A">
        <w:rPr>
          <w:rStyle w:val="a7"/>
          <w:rFonts w:eastAsia="Times"/>
          <w:i/>
          <w:iCs/>
          <w:color w:val="auto"/>
          <w:u w:val="none"/>
          <w:vertAlign w:val="superscript"/>
        </w:rPr>
        <w:t>c)</w:t>
      </w:r>
      <w:r w:rsidR="003E1813" w:rsidRPr="00D30C9A">
        <w:rPr>
          <w:i/>
          <w:iCs/>
          <w:color w:val="auto"/>
        </w:rPr>
        <w:t xml:space="preserve"> </w:t>
      </w:r>
      <w:hyperlink r:id="rId8" w:history="1">
        <w:r w:rsidR="009B4219" w:rsidRPr="00D30C9A">
          <w:rPr>
            <w:rStyle w:val="a7"/>
            <w:i/>
            <w:iCs/>
            <w:color w:val="auto"/>
            <w:u w:val="none"/>
          </w:rPr>
          <w:t>said7778akbar@mail.ru</w:t>
        </w:r>
      </w:hyperlink>
      <w:r w:rsidR="009B4219" w:rsidRPr="00D30C9A">
        <w:rPr>
          <w:rFonts w:eastAsia="Times"/>
          <w:i/>
          <w:iCs/>
          <w:color w:val="auto"/>
          <w:vertAlign w:val="superscript"/>
        </w:rPr>
        <w:t>3</w:t>
      </w:r>
      <w:r w:rsidR="003E1813" w:rsidRPr="00D30C9A">
        <w:rPr>
          <w:rFonts w:eastAsia="Times"/>
          <w:i/>
          <w:iCs/>
          <w:color w:val="auto"/>
        </w:rPr>
        <w:t xml:space="preserve"> </w:t>
      </w:r>
    </w:p>
    <w:p w14:paraId="77633666" w14:textId="1E483D39" w:rsidR="00274BE6" w:rsidRPr="0042530D" w:rsidRDefault="008153B4" w:rsidP="00D30C9A">
      <w:pPr>
        <w:spacing w:after="360"/>
        <w:ind w:left="289" w:right="289"/>
        <w:jc w:val="both"/>
      </w:pPr>
      <w:r w:rsidRPr="0042530D">
        <w:rPr>
          <w:rFonts w:eastAsia="Times"/>
          <w:b/>
          <w:sz w:val="18"/>
          <w:szCs w:val="18"/>
        </w:rPr>
        <w:t>Abstract.</w:t>
      </w:r>
      <w:r w:rsidRPr="0042530D">
        <w:rPr>
          <w:rFonts w:eastAsia="Times"/>
          <w:sz w:val="18"/>
          <w:szCs w:val="18"/>
        </w:rPr>
        <w:t xml:space="preserve"> </w:t>
      </w:r>
      <w:r w:rsidR="000E656B" w:rsidRPr="000E656B">
        <w:rPr>
          <w:rFonts w:eastAsia="Times"/>
          <w:sz w:val="18"/>
          <w:szCs w:val="18"/>
        </w:rPr>
        <w:t>Hydrogen has long been considered a promising alternative fuel, and this research explores its potential when blended in small quantities with gasoline in conventional car engines.</w:t>
      </w:r>
      <w:r w:rsidR="000E656B">
        <w:rPr>
          <w:rFonts w:eastAsia="Times"/>
          <w:sz w:val="18"/>
          <w:szCs w:val="18"/>
        </w:rPr>
        <w:t xml:space="preserve"> </w:t>
      </w:r>
      <w:r w:rsidR="00486689" w:rsidRPr="00486689">
        <w:rPr>
          <w:rFonts w:eastAsia="Times"/>
          <w:sz w:val="18"/>
          <w:szCs w:val="18"/>
        </w:rPr>
        <w:t>A regular Cobalt engine was taken and tested with a mix of gasoline and just a small portion of hydrogen—around 3 to 8%. Surprisingly, the engine ran better. It used less fuel and gave off fewer harmful gases, like carbon monoxide. There was even a small rise in power, thanks to hydrogen burning faster and cleaner.</w:t>
      </w:r>
      <w:r w:rsidR="00486689">
        <w:rPr>
          <w:rFonts w:eastAsia="Times"/>
          <w:sz w:val="18"/>
          <w:szCs w:val="18"/>
        </w:rPr>
        <w:t xml:space="preserve"> </w:t>
      </w:r>
      <w:r w:rsidR="00486689" w:rsidRPr="00486689">
        <w:rPr>
          <w:rFonts w:eastAsia="Times"/>
          <w:sz w:val="18"/>
          <w:szCs w:val="18"/>
        </w:rPr>
        <w:t>The setup wasn’t complex. Hydrogen was made by electrolysis and sent into the intake system. No big engine changes were needed. This makes the idea more practical—especially for places where switching to full electric vehicles isn’t an option yet.</w:t>
      </w:r>
      <w:r w:rsidR="00486689">
        <w:rPr>
          <w:rFonts w:eastAsia="Times"/>
          <w:sz w:val="18"/>
          <w:szCs w:val="18"/>
        </w:rPr>
        <w:t xml:space="preserve"> </w:t>
      </w:r>
      <w:r w:rsidR="00486689" w:rsidRPr="00486689">
        <w:rPr>
          <w:rFonts w:eastAsia="Times"/>
          <w:sz w:val="18"/>
          <w:szCs w:val="18"/>
        </w:rPr>
        <w:t>One thing that came up was a small increase in nitrogen oxide emissions. That might be fixed with exhaust recirculation techniques. Still, these results show there’s real potential in hydrogen-blended fuel, not just for efficiency, but for cleaner air too. The method could work as a temporary bridge toward greener transport without waiting for big infrastructure shifts.</w:t>
      </w:r>
    </w:p>
    <w:p w14:paraId="342ACF35" w14:textId="0A9A7583" w:rsidR="00274BE6" w:rsidRPr="000A6AB8" w:rsidRDefault="008153B4" w:rsidP="00D30C9A">
      <w:pPr>
        <w:ind w:left="289" w:right="289"/>
        <w:jc w:val="both"/>
        <w:rPr>
          <w:lang w:val="en-US"/>
        </w:rPr>
      </w:pPr>
      <w:r w:rsidRPr="0042530D">
        <w:rPr>
          <w:rFonts w:eastAsia="Times"/>
          <w:b/>
          <w:sz w:val="18"/>
          <w:szCs w:val="18"/>
        </w:rPr>
        <w:t xml:space="preserve">Keywords: </w:t>
      </w:r>
      <w:r w:rsidR="00335A50" w:rsidRPr="00335A50">
        <w:rPr>
          <w:rFonts w:eastAsia="Times"/>
          <w:sz w:val="18"/>
          <w:szCs w:val="18"/>
        </w:rPr>
        <w:t>internal combustion engine, hydrogen enrichment, gasoline-hydrogen blend, fuel efficiency, exhaust emissions, alternative fuels, sustainable transport</w:t>
      </w:r>
    </w:p>
    <w:p w14:paraId="695BEA4F" w14:textId="22995E6D" w:rsidR="00274BE6" w:rsidRPr="0042530D" w:rsidRDefault="00D30C9A" w:rsidP="00D30C9A">
      <w:pPr>
        <w:keepNext/>
        <w:keepLines/>
        <w:tabs>
          <w:tab w:val="left" w:pos="454"/>
        </w:tabs>
        <w:spacing w:before="240" w:after="240"/>
        <w:jc w:val="center"/>
      </w:pPr>
      <w:r w:rsidRPr="0042530D">
        <w:rPr>
          <w:rFonts w:eastAsia="Times"/>
          <w:b/>
          <w:sz w:val="24"/>
          <w:szCs w:val="24"/>
        </w:rPr>
        <w:t>INTRODUCTION</w:t>
      </w:r>
    </w:p>
    <w:p w14:paraId="636840F8" w14:textId="3EC39076" w:rsidR="00486689" w:rsidRPr="00486689" w:rsidRDefault="00486689" w:rsidP="00D30C9A">
      <w:pPr>
        <w:ind w:firstLine="284"/>
        <w:jc w:val="both"/>
        <w:rPr>
          <w:rFonts w:eastAsia="Times"/>
        </w:rPr>
      </w:pPr>
      <w:r w:rsidRPr="00486689">
        <w:rPr>
          <w:rFonts w:eastAsia="Times"/>
        </w:rPr>
        <w:t>Transportation, especially road-based movement, is now widely seen as a major contributor to environmental problems. In busy cities, the sheer number of cars and trucks makes air pollution hard to ignore. The exhaust they release contains carbon monoxide, nitrogen oxides, unburned hydrocarbons, and even tiny soot particles. These aren’t just pollutants — they’re threats to human health. Many city dwellers are seeing more cases of asthma, lung diseases, and other respiratory issues, likely because they breathe this air every day.</w:t>
      </w:r>
    </w:p>
    <w:p w14:paraId="2DF34D78" w14:textId="77777777" w:rsidR="00486689" w:rsidRPr="00486689" w:rsidRDefault="00486689" w:rsidP="00D30C9A">
      <w:pPr>
        <w:ind w:firstLine="284"/>
        <w:jc w:val="both"/>
        <w:rPr>
          <w:rFonts w:eastAsia="Times"/>
        </w:rPr>
      </w:pPr>
      <w:r w:rsidRPr="00486689">
        <w:rPr>
          <w:rFonts w:eastAsia="Times"/>
        </w:rPr>
        <w:t>Right now, around a billion cars are being driven across the globe. It’s hard to imagine, but together they use more than 70% of all the oil produced. And that’s not the only concern. These vehicles are responsible for about half of all harmful emissions, and in large cities, that number can go even higher — as much as 85 or 90 percent. In just the last decade, the number of cars on the road has jumped by more than 20%. This boom in vehicle usage hasn’t just increased energy demand — it has also worsened environmental damage on a massive scale.</w:t>
      </w:r>
    </w:p>
    <w:p w14:paraId="2FCC6A20" w14:textId="77777777" w:rsidR="00486689" w:rsidRPr="00486689" w:rsidRDefault="00486689" w:rsidP="00D30C9A">
      <w:pPr>
        <w:ind w:firstLine="284"/>
        <w:jc w:val="both"/>
        <w:rPr>
          <w:rFonts w:eastAsia="Times"/>
        </w:rPr>
      </w:pPr>
      <w:r w:rsidRPr="00486689">
        <w:rPr>
          <w:rFonts w:eastAsia="Times"/>
        </w:rPr>
        <w:t>In Central Asia, trade and population growth are reshaping transportation needs. Cities are expanding, people are moving more, and goods are being shipped farther and faster. That naturally means more cars, buses, and trucks on the road. This growth is putting pressure on natural resources and adding to the region’s greenhouse gas emissions [1].</w:t>
      </w:r>
    </w:p>
    <w:p w14:paraId="1753AB91" w14:textId="77777777" w:rsidR="00486689" w:rsidRPr="00486689" w:rsidRDefault="00486689" w:rsidP="00D30C9A">
      <w:pPr>
        <w:ind w:firstLine="284"/>
        <w:jc w:val="both"/>
        <w:rPr>
          <w:rFonts w:eastAsia="Times"/>
        </w:rPr>
      </w:pPr>
      <w:r w:rsidRPr="00486689">
        <w:rPr>
          <w:rFonts w:eastAsia="Times"/>
        </w:rPr>
        <w:t>Humans have always relied on mobility, but now, the balance between progress and environmental responsibility is being tested. Some studies suggest that motor vehicles alone might account for more than 90% of urban air pollution and nearly half the noise people hear every day [2].</w:t>
      </w:r>
    </w:p>
    <w:p w14:paraId="10934824" w14:textId="60D70CE1" w:rsidR="00921015" w:rsidRDefault="00486689" w:rsidP="00D30C9A">
      <w:pPr>
        <w:ind w:firstLine="284"/>
        <w:jc w:val="both"/>
        <w:rPr>
          <w:rFonts w:eastAsia="Times"/>
        </w:rPr>
      </w:pPr>
      <w:r w:rsidRPr="00486689">
        <w:rPr>
          <w:rFonts w:eastAsia="Times"/>
        </w:rPr>
        <w:t>Solving this won’t be easy. Moving to solar or wind power alone isn’t enough. We also need better, cleaner fuels and smarter engine technologies. Hydrogen, biofuels, and electric power aren’t just alternatives anymore — they might be our best shot at making transportation cleaner and more sustainable in the near future [3].</w:t>
      </w:r>
    </w:p>
    <w:p w14:paraId="27101F50" w14:textId="77777777" w:rsidR="00D30C9A" w:rsidRDefault="00D30C9A" w:rsidP="00D30C9A">
      <w:pPr>
        <w:spacing w:before="240" w:after="240"/>
        <w:jc w:val="center"/>
        <w:rPr>
          <w:rFonts w:eastAsia="Times"/>
          <w:b/>
          <w:sz w:val="24"/>
          <w:szCs w:val="24"/>
        </w:rPr>
      </w:pPr>
    </w:p>
    <w:p w14:paraId="4CF19295" w14:textId="308E109D" w:rsidR="00274BE6" w:rsidRPr="0042530D" w:rsidRDefault="00D30C9A" w:rsidP="00D30C9A">
      <w:pPr>
        <w:spacing w:before="240" w:after="240"/>
        <w:jc w:val="center"/>
      </w:pPr>
      <w:r>
        <w:rPr>
          <w:rFonts w:eastAsia="Times"/>
          <w:b/>
          <w:sz w:val="24"/>
          <w:szCs w:val="24"/>
        </w:rPr>
        <w:lastRenderedPageBreak/>
        <w:t>METHODS</w:t>
      </w:r>
    </w:p>
    <w:p w14:paraId="6FEE87AB" w14:textId="77777777" w:rsidR="006426BC" w:rsidRPr="006426BC" w:rsidRDefault="006426BC" w:rsidP="00D30C9A">
      <w:pPr>
        <w:ind w:firstLine="284"/>
        <w:jc w:val="both"/>
        <w:rPr>
          <w:rFonts w:eastAsia="Times"/>
          <w:lang w:val="en-US"/>
        </w:rPr>
      </w:pPr>
      <w:r w:rsidRPr="006426BC">
        <w:rPr>
          <w:rFonts w:eastAsia="Times"/>
          <w:lang w:val="en-US"/>
        </w:rPr>
        <w:t>This research paper analyzes the effect of adding hydrogen to the hydrocarbon-air mixture of a gasoline engine. The main advantage of hydrogen-powered cars is high environmental friendliness, since the product of hydrogen combustion is water vapor.</w:t>
      </w:r>
    </w:p>
    <w:p w14:paraId="2CD7A927" w14:textId="4BFC5160" w:rsidR="006426BC" w:rsidRPr="006426BC" w:rsidRDefault="006426BC" w:rsidP="00D30C9A">
      <w:pPr>
        <w:ind w:firstLine="284"/>
        <w:jc w:val="both"/>
        <w:rPr>
          <w:rFonts w:eastAsia="Times"/>
          <w:lang w:val="en-US"/>
        </w:rPr>
      </w:pPr>
      <w:r w:rsidRPr="006426BC">
        <w:rPr>
          <w:rFonts w:eastAsia="Times"/>
          <w:lang w:val="en-US"/>
        </w:rPr>
        <w:t>Hydrogen-air mixtures are characterized by a high rate of combustion in the engine. When mixed with air, hydrogen reliably ignites across a wide range of concentrations, enabling stable engine operation at all speed modes. This leads to an increase in engine efficiency by approximately 25–50% [</w:t>
      </w:r>
      <w:r w:rsidR="00051449">
        <w:rPr>
          <w:rFonts w:eastAsia="Times"/>
          <w:lang w:val="en-US"/>
        </w:rPr>
        <w:t xml:space="preserve">4, </w:t>
      </w:r>
      <w:r w:rsidR="00CA1C78">
        <w:rPr>
          <w:rFonts w:eastAsia="Times"/>
          <w:lang w:val="en-US"/>
        </w:rPr>
        <w:t>5</w:t>
      </w:r>
      <w:r w:rsidRPr="006426BC">
        <w:rPr>
          <w:rFonts w:eastAsia="Times"/>
          <w:lang w:val="en-US"/>
        </w:rPr>
        <w:t>]. It is also possible to use hydrogen mixed with natural gas, as hydrogen actively influences the combustion of methane and other hydrocarbon components.</w:t>
      </w:r>
    </w:p>
    <w:p w14:paraId="688104B9" w14:textId="2D0E6397" w:rsidR="006426BC" w:rsidRPr="006426BC" w:rsidRDefault="006426BC" w:rsidP="00D30C9A">
      <w:pPr>
        <w:ind w:firstLine="284"/>
        <w:jc w:val="both"/>
        <w:rPr>
          <w:rFonts w:eastAsia="Times"/>
          <w:lang w:val="en-US"/>
        </w:rPr>
      </w:pPr>
      <w:r w:rsidRPr="006426BC">
        <w:rPr>
          <w:rFonts w:eastAsia="Times"/>
          <w:lang w:val="en-US"/>
        </w:rPr>
        <w:t xml:space="preserve">The energetic and ecological benefits of hydrogen addition are significant: hydrogen oxidation releases substantially more energy than any hydrocarbon fuel, and the main combustion products are water vapor and nitrogen oxides. However, the use of </w:t>
      </w:r>
      <w:r w:rsidRPr="006426BC">
        <w:rPr>
          <w:rFonts w:eastAsia="Times"/>
          <w:i/>
          <w:iCs/>
          <w:lang w:val="en-US"/>
        </w:rPr>
        <w:t>liquid hydrogen</w:t>
      </w:r>
      <w:r w:rsidRPr="006426BC">
        <w:rPr>
          <w:rFonts w:eastAsia="Times"/>
          <w:lang w:val="en-US"/>
        </w:rPr>
        <w:t xml:space="preserve"> requires powerful and costly cryogenic systems. In practical conditions, the oxidizing agent is atmospheric air, which contains only 21–22% oxygen and about 76% nitrogen. At high temperatures, nitrogen contributes to the formation of harmful nitrogen oxides [</w:t>
      </w:r>
      <w:r w:rsidR="00CA1C78">
        <w:rPr>
          <w:rFonts w:eastAsia="Times"/>
          <w:lang w:val="en-US"/>
        </w:rPr>
        <w:t>6</w:t>
      </w:r>
      <w:r w:rsidRPr="006426BC">
        <w:rPr>
          <w:rFonts w:eastAsia="Times"/>
          <w:lang w:val="en-US"/>
        </w:rPr>
        <w:t>].</w:t>
      </w:r>
    </w:p>
    <w:p w14:paraId="389F18F4" w14:textId="77777777" w:rsidR="006426BC" w:rsidRPr="006426BC" w:rsidRDefault="006426BC" w:rsidP="00D30C9A">
      <w:pPr>
        <w:ind w:firstLine="284"/>
        <w:jc w:val="both"/>
        <w:rPr>
          <w:rFonts w:eastAsia="Times"/>
          <w:lang w:val="en-US"/>
        </w:rPr>
      </w:pPr>
      <w:r w:rsidRPr="006426BC">
        <w:rPr>
          <w:rFonts w:eastAsia="Times"/>
          <w:lang w:val="en-US"/>
        </w:rPr>
        <w:t>Therefore, the problem of replacing conventional fuels with liquid hydrogen goes beyond the scope of automobile engine design. Nonetheless, it has been demonstrated that alternative fuels, including hydrogen, can be introduced into internal combustion engines with minimal modification. Hydrogen is typically used in gaseous form due to the difficulties of liquid storage at its low boiling point (−252.88 °C).</w:t>
      </w:r>
    </w:p>
    <w:p w14:paraId="4A8D2A1F" w14:textId="498749A0" w:rsidR="006426BC" w:rsidRPr="006426BC" w:rsidRDefault="006426BC" w:rsidP="00D30C9A">
      <w:pPr>
        <w:ind w:firstLine="284"/>
        <w:jc w:val="both"/>
        <w:rPr>
          <w:rFonts w:eastAsia="Times"/>
          <w:lang w:val="en-US"/>
        </w:rPr>
      </w:pPr>
      <w:r w:rsidRPr="006426BC">
        <w:rPr>
          <w:rFonts w:eastAsia="Times"/>
          <w:lang w:val="en-US"/>
        </w:rPr>
        <w:t xml:space="preserve">Indicator diagrams of typical engine cycles show that the theoretical efficiency of internal combustion engines cannot exceed 50%—a principle proven by </w:t>
      </w:r>
      <w:proofErr w:type="spellStart"/>
      <w:r w:rsidRPr="006426BC">
        <w:rPr>
          <w:rFonts w:eastAsia="Times"/>
          <w:lang w:val="en-US"/>
        </w:rPr>
        <w:t>Sadi</w:t>
      </w:r>
      <w:proofErr w:type="spellEnd"/>
      <w:r w:rsidRPr="006426BC">
        <w:rPr>
          <w:rFonts w:eastAsia="Times"/>
          <w:lang w:val="en-US"/>
        </w:rPr>
        <w:t xml:space="preserve"> Carnot as early as 1824. Modern gasoline engines achieve about 38% efficiency, while diesel engines reach just under 42%. Consequently, even a 4–5% improvement is considered significant, given the scale of engine usage</w:t>
      </w:r>
      <w:r w:rsidR="00825D4E">
        <w:rPr>
          <w:rFonts w:eastAsia="Times"/>
          <w:lang w:val="en-US"/>
        </w:rPr>
        <w:t xml:space="preserve"> [</w:t>
      </w:r>
      <w:r w:rsidR="00C14F1E">
        <w:rPr>
          <w:rFonts w:eastAsia="Times"/>
          <w:lang w:val="en-US"/>
        </w:rPr>
        <w:t>7</w:t>
      </w:r>
      <w:r w:rsidR="00825D4E">
        <w:rPr>
          <w:rFonts w:eastAsia="Times"/>
          <w:lang w:val="en-US"/>
        </w:rPr>
        <w:t>]</w:t>
      </w:r>
      <w:r w:rsidRPr="006426BC">
        <w:rPr>
          <w:rFonts w:eastAsia="Times"/>
          <w:lang w:val="en-US"/>
        </w:rPr>
        <w:t>.</w:t>
      </w:r>
    </w:p>
    <w:p w14:paraId="7F62C1C0" w14:textId="2686500E" w:rsidR="006426BC" w:rsidRPr="006426BC" w:rsidRDefault="006426BC" w:rsidP="00D30C9A">
      <w:pPr>
        <w:tabs>
          <w:tab w:val="num" w:pos="851"/>
        </w:tabs>
        <w:ind w:firstLine="284"/>
        <w:jc w:val="both"/>
        <w:rPr>
          <w:rFonts w:eastAsia="Times"/>
          <w:lang w:val="en-US"/>
        </w:rPr>
      </w:pPr>
      <w:r w:rsidRPr="006426BC">
        <w:rPr>
          <w:rFonts w:eastAsia="Times"/>
          <w:lang w:val="en-US"/>
        </w:rPr>
        <w:t>The approximate thermal energy distribution in a piston engine is as follows:</w:t>
      </w:r>
      <w:r>
        <w:rPr>
          <w:rFonts w:eastAsia="Times"/>
          <w:lang w:val="en-US"/>
        </w:rPr>
        <w:t xml:space="preserve"> </w:t>
      </w:r>
      <w:r w:rsidRPr="006426BC">
        <w:rPr>
          <w:rFonts w:eastAsia="Times"/>
          <w:lang w:val="en-US"/>
        </w:rPr>
        <w:t>~35% is lost via exhaust gases,</w:t>
      </w:r>
      <w:r>
        <w:rPr>
          <w:rFonts w:eastAsia="Times"/>
          <w:lang w:val="en-US"/>
        </w:rPr>
        <w:t xml:space="preserve"> </w:t>
      </w:r>
      <w:r w:rsidRPr="006426BC">
        <w:rPr>
          <w:rFonts w:eastAsia="Times"/>
          <w:lang w:val="en-US"/>
        </w:rPr>
        <w:t>~17% is carried away by the coolant—losses that can be minimized through the use of ceramic or isotherm-resistant materials with low thermal conductivity,</w:t>
      </w:r>
      <w:r>
        <w:rPr>
          <w:rFonts w:eastAsia="Times"/>
          <w:lang w:val="en-US"/>
        </w:rPr>
        <w:t xml:space="preserve"> </w:t>
      </w:r>
      <w:r w:rsidRPr="006426BC">
        <w:rPr>
          <w:rFonts w:eastAsia="Times"/>
          <w:lang w:val="en-US"/>
        </w:rPr>
        <w:t>~13% accounts for mechanical losses, such as piston-cylinder friction and crank mechanism movement</w:t>
      </w:r>
      <w:r w:rsidR="00C14F1E">
        <w:rPr>
          <w:rFonts w:eastAsia="Times"/>
          <w:lang w:val="en-US"/>
        </w:rPr>
        <w:t xml:space="preserve"> </w:t>
      </w:r>
      <w:r w:rsidR="00C14F1E" w:rsidRPr="006426BC">
        <w:rPr>
          <w:rFonts w:eastAsia="Times"/>
          <w:lang w:val="en-US"/>
        </w:rPr>
        <w:t>[</w:t>
      </w:r>
      <w:r w:rsidR="00C14F1E">
        <w:rPr>
          <w:rFonts w:eastAsia="Times"/>
          <w:lang w:val="en-US"/>
        </w:rPr>
        <w:t>8</w:t>
      </w:r>
      <w:r w:rsidR="00051449">
        <w:rPr>
          <w:rFonts w:eastAsia="Times"/>
          <w:lang w:val="en-US"/>
        </w:rPr>
        <w:t>, 9</w:t>
      </w:r>
      <w:r w:rsidR="00C14F1E" w:rsidRPr="006426BC">
        <w:rPr>
          <w:rFonts w:eastAsia="Times"/>
          <w:lang w:val="en-US"/>
        </w:rPr>
        <w:t>].</w:t>
      </w:r>
    </w:p>
    <w:p w14:paraId="24C1D678" w14:textId="239DD831" w:rsidR="004D4BE5" w:rsidRDefault="006426BC" w:rsidP="00D30C9A">
      <w:pPr>
        <w:ind w:firstLine="284"/>
        <w:jc w:val="both"/>
        <w:rPr>
          <w:rFonts w:eastAsia="Times"/>
          <w:lang w:val="en-US"/>
        </w:rPr>
      </w:pPr>
      <w:r w:rsidRPr="006426BC">
        <w:rPr>
          <w:rFonts w:eastAsia="Times"/>
          <w:lang w:val="en-US"/>
        </w:rPr>
        <w:t>Without major structural changes, conventional piston engines can be supplied with gasoline or diesel fuel enriched with 3–8% hydrogen. The main industrial method of hydrogen production used in this study is steam reforming of methane (natural gas), represented by the reaction:</w:t>
      </w:r>
      <w:r w:rsidR="004D4BE5">
        <w:rPr>
          <w:rFonts w:eastAsia="Times"/>
          <w:lang w:val="en-US"/>
        </w:rPr>
        <w:t xml:space="preserve"> </w:t>
      </w:r>
      <w:r w:rsidR="004D4BE5" w:rsidRPr="004D4BE5">
        <w:rPr>
          <w:rFonts w:eastAsia="Times"/>
          <w:lang w:val="en-US"/>
        </w:rPr>
        <w:t>CH4 + 2H20 = CO2 + 4H2 - 165 kJ</w:t>
      </w:r>
      <w:r w:rsidR="004D4BE5">
        <w:rPr>
          <w:rFonts w:eastAsia="Times"/>
          <w:lang w:val="en-US"/>
        </w:rPr>
        <w:t>.</w:t>
      </w:r>
    </w:p>
    <w:p w14:paraId="5DE6DCA7" w14:textId="27944DA4" w:rsidR="006426BC" w:rsidRPr="006426BC" w:rsidRDefault="004D4BE5" w:rsidP="00D30C9A">
      <w:pPr>
        <w:ind w:firstLine="284"/>
        <w:jc w:val="both"/>
        <w:rPr>
          <w:rFonts w:eastAsia="Times"/>
          <w:lang w:val="en-US"/>
        </w:rPr>
      </w:pPr>
      <w:r w:rsidRPr="004D4BE5">
        <w:rPr>
          <w:rFonts w:eastAsia="Times"/>
          <w:lang w:val="en-US"/>
        </w:rPr>
        <w:t>Analysis of typical reactions of hydrocarbon fuel oxidation shows that even this small step will dramatically improve performance, efficiency and exhaust gas composition</w:t>
      </w:r>
      <w:r>
        <w:rPr>
          <w:rFonts w:eastAsia="Times"/>
          <w:lang w:val="en-US"/>
        </w:rPr>
        <w:t xml:space="preserve"> [</w:t>
      </w:r>
      <w:r w:rsidR="00AD096F">
        <w:rPr>
          <w:rFonts w:eastAsia="Times"/>
          <w:lang w:val="en-US"/>
        </w:rPr>
        <w:t>10</w:t>
      </w:r>
      <w:r>
        <w:rPr>
          <w:rFonts w:eastAsia="Times"/>
          <w:lang w:val="en-US"/>
        </w:rPr>
        <w:t>]</w:t>
      </w:r>
      <w:r w:rsidRPr="004D4BE5">
        <w:rPr>
          <w:rFonts w:eastAsia="Times"/>
          <w:lang w:val="en-US"/>
        </w:rPr>
        <w:t xml:space="preserve">. But for the possibility of using hydrogen </w:t>
      </w:r>
      <w:r w:rsidR="000B71A9" w:rsidRPr="004D4BE5">
        <w:rPr>
          <w:rFonts w:eastAsia="Times"/>
          <w:lang w:val="en-US"/>
        </w:rPr>
        <w:t>additive,</w:t>
      </w:r>
      <w:r w:rsidRPr="004D4BE5">
        <w:rPr>
          <w:rFonts w:eastAsia="Times"/>
          <w:lang w:val="en-US"/>
        </w:rPr>
        <w:t xml:space="preserve"> it is necessary to cool the piston and other elements of the internal combustion engine, interacting with combustion products, due to the increase in temperature in the combustion chamber</w:t>
      </w:r>
      <w:r w:rsidR="006426BC" w:rsidRPr="006426BC">
        <w:rPr>
          <w:rFonts w:eastAsia="Times"/>
          <w:lang w:val="en-US"/>
        </w:rPr>
        <w:t>.</w:t>
      </w:r>
    </w:p>
    <w:p w14:paraId="7CABCB28" w14:textId="77777777" w:rsidR="006426BC" w:rsidRPr="006426BC" w:rsidRDefault="006426BC" w:rsidP="00D30C9A">
      <w:pPr>
        <w:ind w:firstLine="284"/>
        <w:jc w:val="both"/>
        <w:rPr>
          <w:rFonts w:eastAsia="Times"/>
          <w:lang w:val="en-US"/>
        </w:rPr>
      </w:pPr>
      <w:r w:rsidRPr="006426BC">
        <w:rPr>
          <w:rFonts w:eastAsia="Times"/>
          <w:lang w:val="en-US"/>
        </w:rPr>
        <w:t>Adjusting the hydrogen-gasoline ratio allows for more precise engine control. Hydrogen obtained from water burns in the engine and, depending on mixture settings, may even enrich the atmosphere with oxygen. The exhaust mainly consists of oxygen and water vapor, where the oxygen originates from the electrolysis process used to produce the hydrogen.</w:t>
      </w:r>
    </w:p>
    <w:p w14:paraId="11C4E32E" w14:textId="77777777" w:rsidR="004D4BE5" w:rsidRPr="004D4BE5" w:rsidRDefault="004D4BE5" w:rsidP="00D30C9A">
      <w:pPr>
        <w:jc w:val="center"/>
        <w:rPr>
          <w:rFonts w:eastAsia="Calibri"/>
          <w:color w:val="auto"/>
          <w:lang w:val="ru-RU" w:eastAsia="ru-RU"/>
        </w:rPr>
      </w:pPr>
      <w:r w:rsidRPr="004D4BE5">
        <w:rPr>
          <w:rFonts w:eastAsia="Calibri"/>
          <w:noProof/>
          <w:color w:val="auto"/>
          <w:lang w:val="ru-RU" w:eastAsia="ru-RU"/>
        </w:rPr>
        <w:drawing>
          <wp:inline distT="0" distB="0" distL="0" distR="0" wp14:anchorId="7595A3B1" wp14:editId="08B5B018">
            <wp:extent cx="3302000" cy="1943100"/>
            <wp:effectExtent l="19050" t="19050" r="12700" b="19050"/>
            <wp:docPr id="1" name="Рисунок 1" descr="https://7universum.com/pdf/tech/4(85)/Ismatov.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Объект 4" descr="https://7universum.com/pdf/tech/4(85)/Ismatov.files/image001.jpg"/>
                    <pic:cNvPicPr>
                      <a:picLocks noChangeAspect="1" noChangeArrowheads="1"/>
                    </pic:cNvPicPr>
                  </pic:nvPicPr>
                  <pic:blipFill>
                    <a:blip r:embed="rId9">
                      <a:lum bright="-20000" contrast="40000"/>
                      <a:extLst>
                        <a:ext uri="{28A0092B-C50C-407E-A947-70E740481C1C}">
                          <a14:useLocalDpi xmlns:a14="http://schemas.microsoft.com/office/drawing/2010/main" val="0"/>
                        </a:ext>
                      </a:extLst>
                    </a:blip>
                    <a:srcRect/>
                    <a:stretch>
                      <a:fillRect/>
                    </a:stretch>
                  </pic:blipFill>
                  <pic:spPr bwMode="auto">
                    <a:xfrm>
                      <a:off x="0" y="0"/>
                      <a:ext cx="3302000" cy="1943100"/>
                    </a:xfrm>
                    <a:prstGeom prst="rect">
                      <a:avLst/>
                    </a:prstGeom>
                    <a:noFill/>
                    <a:ln>
                      <a:solidFill>
                        <a:sysClr val="windowText" lastClr="000000"/>
                      </a:solidFill>
                    </a:ln>
                  </pic:spPr>
                </pic:pic>
              </a:graphicData>
            </a:graphic>
          </wp:inline>
        </w:drawing>
      </w:r>
    </w:p>
    <w:p w14:paraId="082E5C3F" w14:textId="0B44C9C5" w:rsidR="004D4BE5" w:rsidRPr="00D54E0C" w:rsidRDefault="00D30C9A" w:rsidP="00D30C9A">
      <w:pPr>
        <w:spacing w:after="120"/>
        <w:jc w:val="center"/>
        <w:rPr>
          <w:rFonts w:eastAsia="Calibri"/>
          <w:color w:val="auto"/>
          <w:sz w:val="18"/>
          <w:szCs w:val="18"/>
          <w:lang w:val="en-US" w:eastAsia="ru-RU"/>
        </w:rPr>
      </w:pPr>
      <w:r w:rsidRPr="00D54E0C">
        <w:rPr>
          <w:rFonts w:eastAsia="Calibri"/>
          <w:b/>
          <w:iCs/>
          <w:color w:val="auto"/>
          <w:sz w:val="18"/>
          <w:szCs w:val="18"/>
          <w:lang w:val="en-US" w:eastAsia="ru-RU"/>
        </w:rPr>
        <w:t>FIG</w:t>
      </w:r>
      <w:r>
        <w:rPr>
          <w:rFonts w:eastAsia="Calibri"/>
          <w:b/>
          <w:iCs/>
          <w:color w:val="auto"/>
          <w:sz w:val="18"/>
          <w:szCs w:val="18"/>
          <w:lang w:val="en-US" w:eastAsia="ru-RU"/>
        </w:rPr>
        <w:t xml:space="preserve">URE </w:t>
      </w:r>
      <w:r w:rsidR="004D4BE5" w:rsidRPr="00D54E0C">
        <w:rPr>
          <w:rFonts w:eastAsia="Calibri"/>
          <w:b/>
          <w:iCs/>
          <w:color w:val="auto"/>
          <w:sz w:val="18"/>
          <w:szCs w:val="18"/>
          <w:lang w:val="en-US" w:eastAsia="ru-RU"/>
        </w:rPr>
        <w:t>1</w:t>
      </w:r>
      <w:r>
        <w:rPr>
          <w:rFonts w:eastAsia="Calibri"/>
          <w:b/>
          <w:iCs/>
          <w:color w:val="auto"/>
          <w:sz w:val="18"/>
          <w:szCs w:val="18"/>
          <w:lang w:val="en-US" w:eastAsia="ru-RU"/>
        </w:rPr>
        <w:t>.</w:t>
      </w:r>
      <w:r w:rsidR="004D4BE5" w:rsidRPr="00D54E0C">
        <w:rPr>
          <w:rFonts w:eastAsia="Calibri"/>
          <w:b/>
          <w:iCs/>
          <w:color w:val="auto"/>
          <w:sz w:val="18"/>
          <w:szCs w:val="18"/>
          <w:lang w:val="en-US" w:eastAsia="ru-RU"/>
        </w:rPr>
        <w:t xml:space="preserve"> </w:t>
      </w:r>
      <w:r w:rsidR="004D4BE5" w:rsidRPr="00D54E0C">
        <w:rPr>
          <w:rFonts w:eastAsia="Calibri"/>
          <w:bCs/>
          <w:iCs/>
          <w:color w:val="auto"/>
          <w:sz w:val="18"/>
          <w:szCs w:val="18"/>
          <w:lang w:val="en-US" w:eastAsia="ru-RU"/>
        </w:rPr>
        <w:t>Schematic diagram of hydrogen generator</w:t>
      </w:r>
      <w:r>
        <w:rPr>
          <w:rFonts w:eastAsia="Calibri"/>
          <w:bCs/>
          <w:iCs/>
          <w:color w:val="auto"/>
          <w:sz w:val="18"/>
          <w:szCs w:val="18"/>
          <w:lang w:val="en-US" w:eastAsia="ru-RU"/>
        </w:rPr>
        <w:br/>
      </w:r>
      <w:r w:rsidR="004D4BE5" w:rsidRPr="00D54E0C">
        <w:rPr>
          <w:rFonts w:eastAsia="Calibri"/>
          <w:color w:val="auto"/>
          <w:sz w:val="18"/>
          <w:szCs w:val="18"/>
          <w:lang w:val="en-US" w:eastAsia="ru-RU"/>
        </w:rPr>
        <w:t>1-key; 2-relay; 3-mass; 4-fuse; 5-battery; 6-hydrogen generator; 7-tank; 8-moisture separator; 9-air filter</w:t>
      </w:r>
    </w:p>
    <w:p w14:paraId="6CBEA6E9" w14:textId="77777777" w:rsidR="006426BC" w:rsidRPr="006426BC" w:rsidRDefault="006426BC" w:rsidP="00D30C9A">
      <w:pPr>
        <w:ind w:firstLine="284"/>
        <w:jc w:val="both"/>
        <w:rPr>
          <w:rFonts w:eastAsia="Times"/>
          <w:lang w:val="en-US"/>
        </w:rPr>
      </w:pPr>
      <w:r w:rsidRPr="006426BC">
        <w:rPr>
          <w:rFonts w:eastAsia="Times"/>
          <w:lang w:val="en-US"/>
        </w:rPr>
        <w:t>This electrolysis-based method is among the most versatile and well-researched approaches to hydrogen generation. It also offers:</w:t>
      </w:r>
    </w:p>
    <w:p w14:paraId="3F5862E1" w14:textId="5D648941" w:rsidR="004D4BE5" w:rsidRPr="004D4BE5" w:rsidRDefault="004D4BE5" w:rsidP="00D30C9A">
      <w:pPr>
        <w:ind w:firstLine="284"/>
        <w:jc w:val="both"/>
        <w:rPr>
          <w:rFonts w:eastAsia="Times"/>
          <w:lang w:val="en-US"/>
        </w:rPr>
      </w:pPr>
      <w:r w:rsidRPr="004D4BE5">
        <w:rPr>
          <w:rFonts w:eastAsia="Times"/>
          <w:lang w:val="ru-RU"/>
        </w:rPr>
        <w:sym w:font="Symbol" w:char="F02D"/>
      </w:r>
      <w:r w:rsidRPr="004D4BE5">
        <w:rPr>
          <w:rFonts w:eastAsia="Times"/>
          <w:lang w:val="en-US"/>
        </w:rPr>
        <w:t xml:space="preserve"> high purity of produced hydrogen</w:t>
      </w:r>
      <w:r>
        <w:rPr>
          <w:rFonts w:eastAsia="Times"/>
          <w:lang w:val="en-US"/>
        </w:rPr>
        <w:t xml:space="preserve">, </w:t>
      </w:r>
      <w:r w:rsidRPr="004D4BE5">
        <w:rPr>
          <w:rFonts w:eastAsia="Times"/>
          <w:lang w:val="en-US"/>
        </w:rPr>
        <w:t>up to 99,99 % and higher;</w:t>
      </w:r>
    </w:p>
    <w:p w14:paraId="3CD61EC4" w14:textId="77777777" w:rsidR="004D4BE5" w:rsidRPr="004D4BE5" w:rsidRDefault="004D4BE5" w:rsidP="00D30C9A">
      <w:pPr>
        <w:ind w:firstLine="284"/>
        <w:jc w:val="both"/>
        <w:rPr>
          <w:rFonts w:eastAsia="Times"/>
          <w:lang w:val="en-US"/>
        </w:rPr>
      </w:pPr>
      <w:r w:rsidRPr="004D4BE5">
        <w:rPr>
          <w:rFonts w:eastAsia="Times"/>
          <w:lang w:val="ru-RU"/>
        </w:rPr>
        <w:sym w:font="Symbol" w:char="F02D"/>
      </w:r>
      <w:r w:rsidRPr="004D4BE5">
        <w:rPr>
          <w:rFonts w:eastAsia="Times"/>
          <w:lang w:val="en-US"/>
        </w:rPr>
        <w:t xml:space="preserve"> simplicity of technological process, its continuity, possibility of the most complete automation;</w:t>
      </w:r>
    </w:p>
    <w:p w14:paraId="7D67148C" w14:textId="77777777" w:rsidR="004D4BE5" w:rsidRPr="004D4BE5" w:rsidRDefault="004D4BE5" w:rsidP="00D30C9A">
      <w:pPr>
        <w:ind w:firstLine="284"/>
        <w:jc w:val="both"/>
        <w:rPr>
          <w:rFonts w:eastAsia="Times"/>
          <w:lang w:val="en-US"/>
        </w:rPr>
      </w:pPr>
      <w:r w:rsidRPr="004D4BE5">
        <w:rPr>
          <w:rFonts w:eastAsia="Times"/>
          <w:lang w:val="ru-RU"/>
        </w:rPr>
        <w:sym w:font="Symbol" w:char="F02D"/>
      </w:r>
      <w:r w:rsidRPr="004D4BE5">
        <w:rPr>
          <w:rFonts w:eastAsia="Times"/>
          <w:lang w:val="en-US"/>
        </w:rPr>
        <w:t xml:space="preserve"> possibility of obtaining valuable by-products - heavy water and oxygen;</w:t>
      </w:r>
    </w:p>
    <w:p w14:paraId="768C4CC5" w14:textId="77777777" w:rsidR="004D4BE5" w:rsidRPr="004D4BE5" w:rsidRDefault="004D4BE5" w:rsidP="00D30C9A">
      <w:pPr>
        <w:ind w:firstLine="284"/>
        <w:jc w:val="both"/>
        <w:rPr>
          <w:rFonts w:eastAsia="Times"/>
          <w:lang w:val="en-US"/>
        </w:rPr>
      </w:pPr>
      <w:r w:rsidRPr="004D4BE5">
        <w:rPr>
          <w:rFonts w:eastAsia="Times"/>
          <w:lang w:val="ru-RU"/>
        </w:rPr>
        <w:sym w:font="Symbol" w:char="F02D"/>
      </w:r>
      <w:r w:rsidRPr="004D4BE5">
        <w:rPr>
          <w:rFonts w:eastAsia="Times"/>
          <w:lang w:val="en-US"/>
        </w:rPr>
        <w:t xml:space="preserve"> generally available and inexhaustible raw material - water;</w:t>
      </w:r>
    </w:p>
    <w:p w14:paraId="7F6A22F7" w14:textId="77777777" w:rsidR="004D4BE5" w:rsidRPr="004D4BE5" w:rsidRDefault="004D4BE5" w:rsidP="00D30C9A">
      <w:pPr>
        <w:ind w:firstLine="284"/>
        <w:jc w:val="both"/>
        <w:rPr>
          <w:rFonts w:eastAsia="Times"/>
          <w:lang w:val="en-US"/>
        </w:rPr>
      </w:pPr>
      <w:r w:rsidRPr="004D4BE5">
        <w:rPr>
          <w:rFonts w:eastAsia="Times"/>
          <w:lang w:val="ru-RU"/>
        </w:rPr>
        <w:sym w:font="Symbol" w:char="F02D"/>
      </w:r>
      <w:r w:rsidRPr="004D4BE5">
        <w:rPr>
          <w:rFonts w:eastAsia="Times"/>
          <w:lang w:val="en-US"/>
        </w:rPr>
        <w:t xml:space="preserve"> physical separation of hydrogen and oxygen in the very process of electrolysis.</w:t>
      </w:r>
    </w:p>
    <w:p w14:paraId="788F988E" w14:textId="0A7CBF31" w:rsidR="006426BC" w:rsidRPr="006426BC" w:rsidRDefault="006426BC" w:rsidP="00D30C9A">
      <w:pPr>
        <w:ind w:firstLine="284"/>
        <w:jc w:val="both"/>
        <w:rPr>
          <w:rFonts w:eastAsia="Times"/>
          <w:lang w:val="en-US"/>
        </w:rPr>
      </w:pPr>
      <w:r w:rsidRPr="006426BC">
        <w:rPr>
          <w:rFonts w:eastAsia="Times"/>
          <w:lang w:val="en-US"/>
        </w:rPr>
        <w:lastRenderedPageBreak/>
        <w:t>Furthermore, this configuration facilitates liquid cooling of the working components, allowing for higher compression ratios and the safe use of 3–8% hydrogen as a fuel additive. This results in increased combustion temperature, improved thermal efficiency, and significantly lower emissions. These principles were tested in an experimental two-stroke rotary engine, where liquid-cooled pistons allowed stable hydrogen use without thermal degradation of the moving parts [</w:t>
      </w:r>
      <w:r w:rsidR="00825D4E">
        <w:rPr>
          <w:rFonts w:eastAsia="Times"/>
          <w:lang w:val="en-US"/>
        </w:rPr>
        <w:t>1</w:t>
      </w:r>
      <w:r w:rsidR="00C14F1E">
        <w:rPr>
          <w:rFonts w:eastAsia="Times"/>
          <w:lang w:val="en-US"/>
        </w:rPr>
        <w:t>0</w:t>
      </w:r>
      <w:r w:rsidRPr="006426BC">
        <w:rPr>
          <w:rFonts w:eastAsia="Times"/>
          <w:lang w:val="en-US"/>
        </w:rPr>
        <w:t>].</w:t>
      </w:r>
    </w:p>
    <w:p w14:paraId="529F9E6D" w14:textId="3CE93C9D" w:rsidR="009C61A5" w:rsidRPr="0042530D" w:rsidRDefault="00D30C9A" w:rsidP="00D30C9A">
      <w:pPr>
        <w:keepNext/>
        <w:keepLines/>
        <w:tabs>
          <w:tab w:val="left" w:pos="454"/>
        </w:tabs>
        <w:spacing w:before="240" w:after="240"/>
        <w:jc w:val="center"/>
      </w:pPr>
      <w:r w:rsidRPr="000A6AB8">
        <w:rPr>
          <w:rFonts w:eastAsia="Times"/>
          <w:b/>
          <w:sz w:val="24"/>
          <w:szCs w:val="24"/>
        </w:rPr>
        <w:t>MATERIALS</w:t>
      </w:r>
    </w:p>
    <w:p w14:paraId="7A867FA4" w14:textId="4A8507F7" w:rsidR="0039624A" w:rsidRPr="0039624A" w:rsidRDefault="0039624A" w:rsidP="00D30C9A">
      <w:pPr>
        <w:ind w:firstLine="284"/>
        <w:jc w:val="both"/>
        <w:rPr>
          <w:rFonts w:eastAsia="Times"/>
          <w:lang w:val="en-US"/>
        </w:rPr>
      </w:pPr>
      <w:r w:rsidRPr="0039624A">
        <w:rPr>
          <w:rFonts w:eastAsia="Times"/>
          <w:lang w:val="en-US"/>
        </w:rPr>
        <w:t>In recent years, there has been a tightening of requirements regarding the environmental characteristics of fuels. Deviations from fuel quality standards result in serious disturbances in engine operation, including increased risk of vapor lock, intermittent fuel supply, premature wear of fuel system components, excessive tar content, and accumulation of solid particles in combustion products</w:t>
      </w:r>
      <w:r w:rsidR="00051449">
        <w:rPr>
          <w:rFonts w:eastAsia="Times"/>
          <w:lang w:val="en-US"/>
        </w:rPr>
        <w:t xml:space="preserve"> </w:t>
      </w:r>
      <w:r w:rsidR="00C14F1E" w:rsidRPr="006426BC">
        <w:rPr>
          <w:rFonts w:eastAsia="Times"/>
          <w:lang w:val="en-US"/>
        </w:rPr>
        <w:t>[</w:t>
      </w:r>
      <w:r w:rsidR="00C14F1E">
        <w:rPr>
          <w:rFonts w:eastAsia="Times"/>
          <w:lang w:val="en-US"/>
        </w:rPr>
        <w:t>11</w:t>
      </w:r>
      <w:r w:rsidR="00C14F1E" w:rsidRPr="006426BC">
        <w:rPr>
          <w:rFonts w:eastAsia="Times"/>
          <w:lang w:val="en-US"/>
        </w:rPr>
        <w:t>].</w:t>
      </w:r>
    </w:p>
    <w:p w14:paraId="14DBB715" w14:textId="5F9373DF" w:rsidR="0039624A" w:rsidRPr="0039624A" w:rsidRDefault="0039624A" w:rsidP="00D30C9A">
      <w:pPr>
        <w:ind w:firstLine="284"/>
        <w:jc w:val="both"/>
        <w:rPr>
          <w:rFonts w:eastAsia="Times"/>
          <w:lang w:val="en-US"/>
        </w:rPr>
      </w:pPr>
      <w:r w:rsidRPr="0039624A">
        <w:rPr>
          <w:rFonts w:eastAsia="Times"/>
          <w:lang w:val="en-US"/>
        </w:rPr>
        <w:t>During Uzbekistan’s transition to a market economy, the number of registered vehicles has increased almost threefold, exceeding 3 million units. This expansion of mobile and stationary equipment has led to a sharp increase in oil and fuel consumption. In cities like Tashkent, Samarkand, Bukhara, and Fergana, over 80% of air pollution is attributed to road transport [</w:t>
      </w:r>
      <w:r w:rsidR="00051449">
        <w:rPr>
          <w:rFonts w:eastAsia="Times"/>
          <w:lang w:val="en-US"/>
        </w:rPr>
        <w:t xml:space="preserve">12, </w:t>
      </w:r>
      <w:r w:rsidR="00825D4E">
        <w:rPr>
          <w:rFonts w:eastAsia="Times"/>
          <w:lang w:val="en-US"/>
        </w:rPr>
        <w:t>1</w:t>
      </w:r>
      <w:r w:rsidR="00C14F1E">
        <w:rPr>
          <w:rFonts w:eastAsia="Times"/>
          <w:lang w:val="en-US"/>
        </w:rPr>
        <w:t>3</w:t>
      </w:r>
      <w:r w:rsidRPr="0039624A">
        <w:rPr>
          <w:rFonts w:eastAsia="Times"/>
          <w:lang w:val="en-US"/>
        </w:rPr>
        <w:t>].</w:t>
      </w:r>
    </w:p>
    <w:p w14:paraId="4C0B67E3" w14:textId="77777777" w:rsidR="0039624A" w:rsidRPr="0039624A" w:rsidRDefault="0039624A" w:rsidP="00D30C9A">
      <w:pPr>
        <w:ind w:firstLine="284"/>
        <w:jc w:val="both"/>
        <w:rPr>
          <w:rFonts w:eastAsia="Times"/>
          <w:lang w:val="en-US"/>
        </w:rPr>
      </w:pPr>
      <w:r w:rsidRPr="0039624A">
        <w:rPr>
          <w:rFonts w:eastAsia="Times"/>
          <w:lang w:val="en-US"/>
        </w:rPr>
        <w:t>Globally, over 1.2 billion vehicles are on the road. Gases emitted into the atmosphere from a single car contain more than 200 toxic substances. On average, one car annually consumes more than 4 tons of oxygen and emits about 800 kg of carbon monoxide and 40 kg of nitrogen oxides.</w:t>
      </w:r>
    </w:p>
    <w:p w14:paraId="6C9D3F56" w14:textId="160E7F2D" w:rsidR="0039624A" w:rsidRPr="0039624A" w:rsidRDefault="0039624A" w:rsidP="00D30C9A">
      <w:pPr>
        <w:ind w:firstLine="284"/>
        <w:jc w:val="both"/>
        <w:rPr>
          <w:rFonts w:eastAsia="Times"/>
          <w:lang w:val="en-US"/>
        </w:rPr>
      </w:pPr>
      <w:r w:rsidRPr="0039624A">
        <w:rPr>
          <w:rFonts w:eastAsia="Times"/>
          <w:lang w:val="en-US"/>
        </w:rPr>
        <w:t>Overall, more than 250 types of toxic gases are released from vehicles. A single light-duty vehicle driven approximately 15,000 km per year consumes 4.5 tons of oxygen and emits about 530 kg of carbon monoxide, 97 kg of nitrogen oxides, and more than 10 kg of rubber particles [</w:t>
      </w:r>
      <w:r w:rsidR="00825D4E">
        <w:rPr>
          <w:rFonts w:eastAsia="Times"/>
          <w:lang w:val="en-US"/>
        </w:rPr>
        <w:t>1</w:t>
      </w:r>
      <w:r w:rsidR="00C14F1E">
        <w:rPr>
          <w:rFonts w:eastAsia="Times"/>
          <w:lang w:val="en-US"/>
        </w:rPr>
        <w:t>4</w:t>
      </w:r>
      <w:r w:rsidRPr="0039624A">
        <w:rPr>
          <w:rFonts w:eastAsia="Times"/>
          <w:lang w:val="en-US"/>
        </w:rPr>
        <w:t>]. Thus, automobiles not only absorb atmospheric oxygen—essential for living organisms—but also release harmful pollutants into the environment.</w:t>
      </w:r>
    </w:p>
    <w:p w14:paraId="6793B835" w14:textId="1AC82D16" w:rsidR="0039624A" w:rsidRPr="0039624A" w:rsidRDefault="0039624A" w:rsidP="00D30C9A">
      <w:pPr>
        <w:ind w:firstLine="284"/>
        <w:jc w:val="both"/>
        <w:rPr>
          <w:rFonts w:eastAsia="Times"/>
          <w:lang w:val="en-US"/>
        </w:rPr>
      </w:pPr>
      <w:r w:rsidRPr="0039624A">
        <w:rPr>
          <w:rFonts w:eastAsia="Times"/>
          <w:lang w:val="en-US"/>
        </w:rPr>
        <w:t>The combustion of 1 kg of automotive fuel produces about 2.7 kg of CO₂, which accumulates in the upper atmosphere and contributes to the greenhouse effect. In urban areas, CO₂ concentrations can reach 250–500 mg/m³ and persist for up to four months [1</w:t>
      </w:r>
      <w:r w:rsidR="00C14F1E">
        <w:rPr>
          <w:rFonts w:eastAsia="Times"/>
          <w:lang w:val="en-US"/>
        </w:rPr>
        <w:t>5</w:t>
      </w:r>
      <w:r w:rsidRPr="0039624A">
        <w:rPr>
          <w:rFonts w:eastAsia="Times"/>
          <w:lang w:val="en-US"/>
        </w:rPr>
        <w:t>].</w:t>
      </w:r>
    </w:p>
    <w:p w14:paraId="290EADBC" w14:textId="77777777" w:rsidR="0039624A" w:rsidRPr="0039624A" w:rsidRDefault="0039624A" w:rsidP="00D30C9A">
      <w:pPr>
        <w:ind w:firstLine="284"/>
        <w:jc w:val="both"/>
        <w:rPr>
          <w:rFonts w:eastAsia="Times"/>
          <w:lang w:val="en-US"/>
        </w:rPr>
      </w:pPr>
      <w:r w:rsidRPr="0039624A">
        <w:rPr>
          <w:rFonts w:eastAsia="Times"/>
          <w:lang w:val="en-US"/>
        </w:rPr>
        <w:t>In addition to carbon dioxide, vehicle emissions contain unburned hydrocarbons, aldehydes, carcinogens, and other harmful substances. Their composition is presented in Table 1.</w:t>
      </w:r>
    </w:p>
    <w:p w14:paraId="4F5A3492" w14:textId="0CCE08F7" w:rsidR="009C61A5" w:rsidRPr="00B40966" w:rsidRDefault="00D30C9A" w:rsidP="00D30C9A">
      <w:pPr>
        <w:spacing w:before="120"/>
        <w:jc w:val="center"/>
        <w:rPr>
          <w:rFonts w:eastAsia="Times"/>
          <w:sz w:val="18"/>
          <w:szCs w:val="18"/>
        </w:rPr>
      </w:pPr>
      <w:r w:rsidRPr="00B40966">
        <w:rPr>
          <w:rFonts w:eastAsia="Times"/>
          <w:b/>
          <w:bCs/>
          <w:sz w:val="18"/>
          <w:szCs w:val="18"/>
        </w:rPr>
        <w:t>TABLE</w:t>
      </w:r>
      <w:r w:rsidR="0039624A" w:rsidRPr="00B40966">
        <w:rPr>
          <w:rFonts w:eastAsia="Times"/>
          <w:b/>
          <w:bCs/>
          <w:sz w:val="18"/>
          <w:szCs w:val="18"/>
        </w:rPr>
        <w:t xml:space="preserve"> 1.</w:t>
      </w:r>
      <w:r w:rsidR="0039624A" w:rsidRPr="00B40966">
        <w:rPr>
          <w:rFonts w:eastAsia="Times"/>
          <w:sz w:val="18"/>
          <w:szCs w:val="18"/>
        </w:rPr>
        <w:t xml:space="preserve"> Quantity and composition of exhaust gases</w:t>
      </w:r>
    </w:p>
    <w:tbl>
      <w:tblPr>
        <w:tblW w:w="0" w:type="auto"/>
        <w:jc w:val="center"/>
        <w:tblLook w:val="04A0" w:firstRow="1" w:lastRow="0" w:firstColumn="1" w:lastColumn="0" w:noHBand="0" w:noVBand="1"/>
      </w:tblPr>
      <w:tblGrid>
        <w:gridCol w:w="1545"/>
        <w:gridCol w:w="1876"/>
        <w:gridCol w:w="1906"/>
      </w:tblGrid>
      <w:tr w:rsidR="00B40966" w:rsidRPr="00B40966" w14:paraId="390820A8" w14:textId="77777777" w:rsidTr="00D54E0C">
        <w:trPr>
          <w:jc w:val="center"/>
        </w:trPr>
        <w:tc>
          <w:tcPr>
            <w:tcW w:w="0" w:type="auto"/>
            <w:tcBorders>
              <w:top w:val="single" w:sz="12" w:space="0" w:color="auto"/>
              <w:bottom w:val="single" w:sz="4" w:space="0" w:color="auto"/>
            </w:tcBorders>
            <w:hideMark/>
          </w:tcPr>
          <w:p w14:paraId="689A9E94" w14:textId="77777777" w:rsidR="00B40966" w:rsidRPr="00B40966" w:rsidRDefault="00B40966" w:rsidP="00D54E0C">
            <w:pPr>
              <w:ind w:firstLine="360"/>
              <w:rPr>
                <w:rFonts w:eastAsia="Times"/>
                <w:sz w:val="18"/>
                <w:szCs w:val="18"/>
              </w:rPr>
            </w:pPr>
            <w:r w:rsidRPr="00B40966">
              <w:rPr>
                <w:rFonts w:eastAsia="Times"/>
                <w:sz w:val="18"/>
                <w:szCs w:val="18"/>
              </w:rPr>
              <w:t>Components</w:t>
            </w:r>
          </w:p>
        </w:tc>
        <w:tc>
          <w:tcPr>
            <w:tcW w:w="0" w:type="auto"/>
            <w:tcBorders>
              <w:top w:val="single" w:sz="12" w:space="0" w:color="auto"/>
              <w:bottom w:val="single" w:sz="4" w:space="0" w:color="auto"/>
            </w:tcBorders>
            <w:hideMark/>
          </w:tcPr>
          <w:p w14:paraId="0EC275C6" w14:textId="77777777" w:rsidR="00B40966" w:rsidRPr="00B40966" w:rsidRDefault="00B40966" w:rsidP="00D54E0C">
            <w:pPr>
              <w:ind w:firstLine="360"/>
              <w:rPr>
                <w:rFonts w:eastAsia="Times"/>
                <w:sz w:val="18"/>
                <w:szCs w:val="18"/>
              </w:rPr>
            </w:pPr>
            <w:r w:rsidRPr="00B40966">
              <w:rPr>
                <w:rFonts w:eastAsia="Times"/>
                <w:sz w:val="18"/>
                <w:szCs w:val="18"/>
              </w:rPr>
              <w:t>Petrol Engine (%)</w:t>
            </w:r>
          </w:p>
        </w:tc>
        <w:tc>
          <w:tcPr>
            <w:tcW w:w="0" w:type="auto"/>
            <w:tcBorders>
              <w:top w:val="single" w:sz="12" w:space="0" w:color="auto"/>
              <w:bottom w:val="single" w:sz="4" w:space="0" w:color="auto"/>
            </w:tcBorders>
            <w:hideMark/>
          </w:tcPr>
          <w:p w14:paraId="552CF6E2" w14:textId="77777777" w:rsidR="00B40966" w:rsidRPr="00B40966" w:rsidRDefault="00B40966" w:rsidP="00D54E0C">
            <w:pPr>
              <w:ind w:firstLine="360"/>
              <w:rPr>
                <w:rFonts w:eastAsia="Times"/>
                <w:sz w:val="18"/>
                <w:szCs w:val="18"/>
              </w:rPr>
            </w:pPr>
            <w:r w:rsidRPr="00B40966">
              <w:rPr>
                <w:rFonts w:eastAsia="Times"/>
                <w:sz w:val="18"/>
                <w:szCs w:val="18"/>
              </w:rPr>
              <w:t>Diesel Engine (%)</w:t>
            </w:r>
          </w:p>
        </w:tc>
      </w:tr>
      <w:tr w:rsidR="00B40966" w:rsidRPr="00B40966" w14:paraId="733A7D37" w14:textId="77777777" w:rsidTr="00D54E0C">
        <w:trPr>
          <w:jc w:val="center"/>
        </w:trPr>
        <w:tc>
          <w:tcPr>
            <w:tcW w:w="0" w:type="auto"/>
            <w:tcBorders>
              <w:top w:val="single" w:sz="4" w:space="0" w:color="auto"/>
            </w:tcBorders>
            <w:hideMark/>
          </w:tcPr>
          <w:p w14:paraId="07D99DBC" w14:textId="77777777" w:rsidR="00B40966" w:rsidRPr="00B40966" w:rsidRDefault="00B40966" w:rsidP="00D54E0C">
            <w:pPr>
              <w:ind w:firstLine="34"/>
              <w:rPr>
                <w:rFonts w:eastAsia="Times"/>
                <w:sz w:val="18"/>
                <w:szCs w:val="18"/>
              </w:rPr>
            </w:pPr>
            <w:r w:rsidRPr="00B40966">
              <w:rPr>
                <w:rFonts w:eastAsia="Times"/>
                <w:sz w:val="18"/>
                <w:szCs w:val="18"/>
              </w:rPr>
              <w:t>Nitrogen</w:t>
            </w:r>
          </w:p>
        </w:tc>
        <w:tc>
          <w:tcPr>
            <w:tcW w:w="0" w:type="auto"/>
            <w:tcBorders>
              <w:top w:val="single" w:sz="4" w:space="0" w:color="auto"/>
            </w:tcBorders>
            <w:hideMark/>
          </w:tcPr>
          <w:p w14:paraId="4284DA76" w14:textId="77777777" w:rsidR="00B40966" w:rsidRPr="00B40966" w:rsidRDefault="00B40966" w:rsidP="00D54E0C">
            <w:pPr>
              <w:ind w:firstLine="34"/>
              <w:rPr>
                <w:rFonts w:eastAsia="Times"/>
                <w:sz w:val="18"/>
                <w:szCs w:val="18"/>
              </w:rPr>
            </w:pPr>
            <w:r w:rsidRPr="00B40966">
              <w:rPr>
                <w:rFonts w:eastAsia="Times"/>
                <w:sz w:val="18"/>
                <w:szCs w:val="18"/>
              </w:rPr>
              <w:t>74.0–77.0</w:t>
            </w:r>
          </w:p>
        </w:tc>
        <w:tc>
          <w:tcPr>
            <w:tcW w:w="0" w:type="auto"/>
            <w:tcBorders>
              <w:top w:val="single" w:sz="4" w:space="0" w:color="auto"/>
            </w:tcBorders>
            <w:hideMark/>
          </w:tcPr>
          <w:p w14:paraId="7DBDBE4D" w14:textId="77777777" w:rsidR="00B40966" w:rsidRPr="00B40966" w:rsidRDefault="00B40966" w:rsidP="00D54E0C">
            <w:pPr>
              <w:ind w:firstLine="34"/>
              <w:rPr>
                <w:rFonts w:eastAsia="Times"/>
                <w:sz w:val="18"/>
                <w:szCs w:val="18"/>
              </w:rPr>
            </w:pPr>
            <w:r w:rsidRPr="00B40966">
              <w:rPr>
                <w:rFonts w:eastAsia="Times"/>
                <w:sz w:val="18"/>
                <w:szCs w:val="18"/>
              </w:rPr>
              <w:t>76.0–78.0</w:t>
            </w:r>
          </w:p>
        </w:tc>
      </w:tr>
      <w:tr w:rsidR="00B40966" w:rsidRPr="00B40966" w14:paraId="7F305060" w14:textId="77777777" w:rsidTr="00D54E0C">
        <w:trPr>
          <w:jc w:val="center"/>
        </w:trPr>
        <w:tc>
          <w:tcPr>
            <w:tcW w:w="0" w:type="auto"/>
            <w:hideMark/>
          </w:tcPr>
          <w:p w14:paraId="25E2A0E4" w14:textId="77777777" w:rsidR="00B40966" w:rsidRPr="00B40966" w:rsidRDefault="00B40966" w:rsidP="00D54E0C">
            <w:pPr>
              <w:ind w:firstLine="34"/>
              <w:rPr>
                <w:rFonts w:eastAsia="Times"/>
                <w:sz w:val="18"/>
                <w:szCs w:val="18"/>
              </w:rPr>
            </w:pPr>
            <w:r w:rsidRPr="00B40966">
              <w:rPr>
                <w:rFonts w:eastAsia="Times"/>
                <w:sz w:val="18"/>
                <w:szCs w:val="18"/>
              </w:rPr>
              <w:t>Oxygen</w:t>
            </w:r>
          </w:p>
        </w:tc>
        <w:tc>
          <w:tcPr>
            <w:tcW w:w="0" w:type="auto"/>
            <w:hideMark/>
          </w:tcPr>
          <w:p w14:paraId="024312B0" w14:textId="77777777" w:rsidR="00B40966" w:rsidRPr="00B40966" w:rsidRDefault="00B40966" w:rsidP="00D54E0C">
            <w:pPr>
              <w:ind w:firstLine="34"/>
              <w:rPr>
                <w:rFonts w:eastAsia="Times"/>
                <w:sz w:val="18"/>
                <w:szCs w:val="18"/>
              </w:rPr>
            </w:pPr>
            <w:r w:rsidRPr="00B40966">
              <w:rPr>
                <w:rFonts w:eastAsia="Times"/>
                <w:sz w:val="18"/>
                <w:szCs w:val="18"/>
              </w:rPr>
              <w:t>0.3–8.0</w:t>
            </w:r>
          </w:p>
        </w:tc>
        <w:tc>
          <w:tcPr>
            <w:tcW w:w="0" w:type="auto"/>
            <w:hideMark/>
          </w:tcPr>
          <w:p w14:paraId="6230A4D4" w14:textId="77777777" w:rsidR="00B40966" w:rsidRPr="00B40966" w:rsidRDefault="00B40966" w:rsidP="00D54E0C">
            <w:pPr>
              <w:ind w:firstLine="34"/>
              <w:rPr>
                <w:rFonts w:eastAsia="Times"/>
                <w:sz w:val="18"/>
                <w:szCs w:val="18"/>
              </w:rPr>
            </w:pPr>
            <w:r w:rsidRPr="00B40966">
              <w:rPr>
                <w:rFonts w:eastAsia="Times"/>
                <w:sz w:val="18"/>
                <w:szCs w:val="18"/>
              </w:rPr>
              <w:t>0.5–6.0</w:t>
            </w:r>
          </w:p>
        </w:tc>
      </w:tr>
      <w:tr w:rsidR="00B40966" w:rsidRPr="00B40966" w14:paraId="425CDFE3" w14:textId="77777777" w:rsidTr="00D54E0C">
        <w:trPr>
          <w:jc w:val="center"/>
        </w:trPr>
        <w:tc>
          <w:tcPr>
            <w:tcW w:w="0" w:type="auto"/>
            <w:hideMark/>
          </w:tcPr>
          <w:p w14:paraId="7B887147" w14:textId="77777777" w:rsidR="00B40966" w:rsidRPr="00B40966" w:rsidRDefault="00B40966" w:rsidP="00D54E0C">
            <w:pPr>
              <w:ind w:firstLine="34"/>
              <w:rPr>
                <w:rFonts w:eastAsia="Times"/>
                <w:sz w:val="18"/>
                <w:szCs w:val="18"/>
              </w:rPr>
            </w:pPr>
            <w:r w:rsidRPr="00B40966">
              <w:rPr>
                <w:rFonts w:eastAsia="Times"/>
                <w:sz w:val="18"/>
                <w:szCs w:val="18"/>
              </w:rPr>
              <w:t>Water vapor</w:t>
            </w:r>
          </w:p>
        </w:tc>
        <w:tc>
          <w:tcPr>
            <w:tcW w:w="0" w:type="auto"/>
            <w:hideMark/>
          </w:tcPr>
          <w:p w14:paraId="3C6E9B1E" w14:textId="77777777" w:rsidR="00B40966" w:rsidRPr="00B40966" w:rsidRDefault="00B40966" w:rsidP="00D54E0C">
            <w:pPr>
              <w:ind w:firstLine="34"/>
              <w:rPr>
                <w:rFonts w:eastAsia="Times"/>
                <w:sz w:val="18"/>
                <w:szCs w:val="18"/>
              </w:rPr>
            </w:pPr>
            <w:r w:rsidRPr="00B40966">
              <w:rPr>
                <w:rFonts w:eastAsia="Times"/>
                <w:sz w:val="18"/>
                <w:szCs w:val="18"/>
              </w:rPr>
              <w:t>3.0–5.5</w:t>
            </w:r>
          </w:p>
        </w:tc>
        <w:tc>
          <w:tcPr>
            <w:tcW w:w="0" w:type="auto"/>
            <w:hideMark/>
          </w:tcPr>
          <w:p w14:paraId="7A419E25" w14:textId="77777777" w:rsidR="00B40966" w:rsidRPr="00B40966" w:rsidRDefault="00B40966" w:rsidP="00D54E0C">
            <w:pPr>
              <w:ind w:firstLine="34"/>
              <w:rPr>
                <w:rFonts w:eastAsia="Times"/>
                <w:sz w:val="18"/>
                <w:szCs w:val="18"/>
              </w:rPr>
            </w:pPr>
            <w:r w:rsidRPr="00B40966">
              <w:rPr>
                <w:rFonts w:eastAsia="Times"/>
                <w:sz w:val="18"/>
                <w:szCs w:val="18"/>
              </w:rPr>
              <w:t>3.0–6.5</w:t>
            </w:r>
          </w:p>
        </w:tc>
      </w:tr>
      <w:tr w:rsidR="00B40966" w:rsidRPr="00B40966" w14:paraId="16404539" w14:textId="77777777" w:rsidTr="00D54E0C">
        <w:trPr>
          <w:jc w:val="center"/>
        </w:trPr>
        <w:tc>
          <w:tcPr>
            <w:tcW w:w="0" w:type="auto"/>
            <w:hideMark/>
          </w:tcPr>
          <w:p w14:paraId="0005D76B" w14:textId="77777777" w:rsidR="00B40966" w:rsidRPr="00B40966" w:rsidRDefault="00B40966" w:rsidP="00D54E0C">
            <w:pPr>
              <w:ind w:firstLine="34"/>
              <w:rPr>
                <w:rFonts w:eastAsia="Times"/>
                <w:sz w:val="18"/>
                <w:szCs w:val="18"/>
              </w:rPr>
            </w:pPr>
            <w:r w:rsidRPr="00B40966">
              <w:rPr>
                <w:rFonts w:eastAsia="Times"/>
                <w:sz w:val="18"/>
                <w:szCs w:val="18"/>
              </w:rPr>
              <w:t>Carbon dioxide</w:t>
            </w:r>
          </w:p>
        </w:tc>
        <w:tc>
          <w:tcPr>
            <w:tcW w:w="0" w:type="auto"/>
            <w:hideMark/>
          </w:tcPr>
          <w:p w14:paraId="7B25D013" w14:textId="77777777" w:rsidR="00B40966" w:rsidRPr="00B40966" w:rsidRDefault="00B40966" w:rsidP="00D54E0C">
            <w:pPr>
              <w:ind w:firstLine="34"/>
              <w:rPr>
                <w:rFonts w:eastAsia="Times"/>
                <w:sz w:val="18"/>
                <w:szCs w:val="18"/>
              </w:rPr>
            </w:pPr>
            <w:r w:rsidRPr="00B40966">
              <w:rPr>
                <w:rFonts w:eastAsia="Times"/>
                <w:sz w:val="18"/>
                <w:szCs w:val="18"/>
              </w:rPr>
              <w:t>5.0–12.0</w:t>
            </w:r>
          </w:p>
        </w:tc>
        <w:tc>
          <w:tcPr>
            <w:tcW w:w="0" w:type="auto"/>
            <w:hideMark/>
          </w:tcPr>
          <w:p w14:paraId="74AC6F8C" w14:textId="77777777" w:rsidR="00B40966" w:rsidRPr="00B40966" w:rsidRDefault="00B40966" w:rsidP="00D54E0C">
            <w:pPr>
              <w:ind w:firstLine="34"/>
              <w:rPr>
                <w:rFonts w:eastAsia="Times"/>
                <w:sz w:val="18"/>
                <w:szCs w:val="18"/>
              </w:rPr>
            </w:pPr>
            <w:r w:rsidRPr="00B40966">
              <w:rPr>
                <w:rFonts w:eastAsia="Times"/>
                <w:sz w:val="18"/>
                <w:szCs w:val="18"/>
              </w:rPr>
              <w:t>1.0–10.0</w:t>
            </w:r>
          </w:p>
        </w:tc>
      </w:tr>
      <w:tr w:rsidR="00B40966" w:rsidRPr="00B40966" w14:paraId="6965846C" w14:textId="77777777" w:rsidTr="00D54E0C">
        <w:trPr>
          <w:jc w:val="center"/>
        </w:trPr>
        <w:tc>
          <w:tcPr>
            <w:tcW w:w="0" w:type="auto"/>
            <w:hideMark/>
          </w:tcPr>
          <w:p w14:paraId="3AAC5CD2" w14:textId="77777777" w:rsidR="00B40966" w:rsidRPr="00B40966" w:rsidRDefault="00B40966" w:rsidP="00D54E0C">
            <w:pPr>
              <w:ind w:firstLine="34"/>
              <w:rPr>
                <w:rFonts w:eastAsia="Times"/>
                <w:sz w:val="18"/>
                <w:szCs w:val="18"/>
              </w:rPr>
            </w:pPr>
            <w:r w:rsidRPr="00B40966">
              <w:rPr>
                <w:rFonts w:eastAsia="Times"/>
                <w:sz w:val="18"/>
                <w:szCs w:val="18"/>
              </w:rPr>
              <w:t>Carbon monoxide</w:t>
            </w:r>
          </w:p>
        </w:tc>
        <w:tc>
          <w:tcPr>
            <w:tcW w:w="0" w:type="auto"/>
            <w:hideMark/>
          </w:tcPr>
          <w:p w14:paraId="0171B837" w14:textId="77777777" w:rsidR="00B40966" w:rsidRPr="00B40966" w:rsidRDefault="00B40966" w:rsidP="00D54E0C">
            <w:pPr>
              <w:ind w:firstLine="34"/>
              <w:rPr>
                <w:rFonts w:eastAsia="Times"/>
                <w:sz w:val="18"/>
                <w:szCs w:val="18"/>
              </w:rPr>
            </w:pPr>
            <w:r w:rsidRPr="00B40966">
              <w:rPr>
                <w:rFonts w:eastAsia="Times"/>
                <w:sz w:val="18"/>
                <w:szCs w:val="18"/>
              </w:rPr>
              <w:t>0.1–10.0</w:t>
            </w:r>
          </w:p>
        </w:tc>
        <w:tc>
          <w:tcPr>
            <w:tcW w:w="0" w:type="auto"/>
            <w:hideMark/>
          </w:tcPr>
          <w:p w14:paraId="02B4B3E2" w14:textId="77777777" w:rsidR="00B40966" w:rsidRPr="00B40966" w:rsidRDefault="00B40966" w:rsidP="00D54E0C">
            <w:pPr>
              <w:ind w:firstLine="34"/>
              <w:rPr>
                <w:rFonts w:eastAsia="Times"/>
                <w:sz w:val="18"/>
                <w:szCs w:val="18"/>
              </w:rPr>
            </w:pPr>
            <w:r w:rsidRPr="00B40966">
              <w:rPr>
                <w:rFonts w:eastAsia="Times"/>
                <w:sz w:val="18"/>
                <w:szCs w:val="18"/>
              </w:rPr>
              <w:t>0.1–5.0</w:t>
            </w:r>
          </w:p>
        </w:tc>
      </w:tr>
      <w:tr w:rsidR="00B40966" w:rsidRPr="00B40966" w14:paraId="051E4CDA" w14:textId="77777777" w:rsidTr="00D54E0C">
        <w:trPr>
          <w:jc w:val="center"/>
        </w:trPr>
        <w:tc>
          <w:tcPr>
            <w:tcW w:w="0" w:type="auto"/>
            <w:hideMark/>
          </w:tcPr>
          <w:p w14:paraId="769605B9" w14:textId="77777777" w:rsidR="00B40966" w:rsidRPr="00B40966" w:rsidRDefault="00B40966" w:rsidP="00D54E0C">
            <w:pPr>
              <w:ind w:firstLine="34"/>
              <w:rPr>
                <w:rFonts w:eastAsia="Times"/>
                <w:sz w:val="18"/>
                <w:szCs w:val="18"/>
              </w:rPr>
            </w:pPr>
            <w:r w:rsidRPr="00B40966">
              <w:rPr>
                <w:rFonts w:eastAsia="Times"/>
                <w:sz w:val="18"/>
                <w:szCs w:val="18"/>
              </w:rPr>
              <w:t>Carcinogens</w:t>
            </w:r>
          </w:p>
        </w:tc>
        <w:tc>
          <w:tcPr>
            <w:tcW w:w="0" w:type="auto"/>
            <w:hideMark/>
          </w:tcPr>
          <w:p w14:paraId="74667DAB" w14:textId="77777777" w:rsidR="00B40966" w:rsidRPr="00B40966" w:rsidRDefault="00B40966" w:rsidP="00D54E0C">
            <w:pPr>
              <w:ind w:firstLine="34"/>
              <w:rPr>
                <w:rFonts w:eastAsia="Times"/>
                <w:sz w:val="18"/>
                <w:szCs w:val="18"/>
              </w:rPr>
            </w:pPr>
            <w:r w:rsidRPr="00B40966">
              <w:rPr>
                <w:rFonts w:eastAsia="Times"/>
                <w:sz w:val="18"/>
                <w:szCs w:val="18"/>
              </w:rPr>
              <w:t>0.2–3.0</w:t>
            </w:r>
          </w:p>
        </w:tc>
        <w:tc>
          <w:tcPr>
            <w:tcW w:w="0" w:type="auto"/>
            <w:hideMark/>
          </w:tcPr>
          <w:p w14:paraId="1AF005E1" w14:textId="77777777" w:rsidR="00B40966" w:rsidRPr="00B40966" w:rsidRDefault="00B40966" w:rsidP="00D54E0C">
            <w:pPr>
              <w:ind w:firstLine="34"/>
              <w:rPr>
                <w:rFonts w:eastAsia="Times"/>
                <w:sz w:val="18"/>
                <w:szCs w:val="18"/>
              </w:rPr>
            </w:pPr>
            <w:r w:rsidRPr="00B40966">
              <w:rPr>
                <w:rFonts w:eastAsia="Times"/>
                <w:sz w:val="18"/>
                <w:szCs w:val="18"/>
              </w:rPr>
              <w:t>0.009–0.5</w:t>
            </w:r>
          </w:p>
        </w:tc>
      </w:tr>
      <w:tr w:rsidR="00B40966" w:rsidRPr="00B40966" w14:paraId="021B3C64" w14:textId="77777777" w:rsidTr="00D54E0C">
        <w:trPr>
          <w:jc w:val="center"/>
        </w:trPr>
        <w:tc>
          <w:tcPr>
            <w:tcW w:w="0" w:type="auto"/>
            <w:hideMark/>
          </w:tcPr>
          <w:p w14:paraId="7676FEF0" w14:textId="77777777" w:rsidR="00B40966" w:rsidRPr="00B40966" w:rsidRDefault="00B40966" w:rsidP="00D54E0C">
            <w:pPr>
              <w:ind w:firstLine="34"/>
              <w:rPr>
                <w:rFonts w:eastAsia="Times"/>
                <w:sz w:val="18"/>
                <w:szCs w:val="18"/>
              </w:rPr>
            </w:pPr>
            <w:r w:rsidRPr="00B40966">
              <w:rPr>
                <w:rFonts w:eastAsia="Times"/>
                <w:sz w:val="18"/>
                <w:szCs w:val="18"/>
              </w:rPr>
              <w:t>Aldehydes</w:t>
            </w:r>
          </w:p>
        </w:tc>
        <w:tc>
          <w:tcPr>
            <w:tcW w:w="0" w:type="auto"/>
            <w:hideMark/>
          </w:tcPr>
          <w:p w14:paraId="4E1F42C9" w14:textId="77777777" w:rsidR="00B40966" w:rsidRPr="00B40966" w:rsidRDefault="00B40966" w:rsidP="00D54E0C">
            <w:pPr>
              <w:ind w:firstLine="34"/>
              <w:rPr>
                <w:rFonts w:eastAsia="Times"/>
                <w:sz w:val="18"/>
                <w:szCs w:val="18"/>
              </w:rPr>
            </w:pPr>
            <w:r w:rsidRPr="00B40966">
              <w:rPr>
                <w:rFonts w:eastAsia="Times"/>
                <w:sz w:val="18"/>
                <w:szCs w:val="18"/>
              </w:rPr>
              <w:t>0–0.2</w:t>
            </w:r>
          </w:p>
        </w:tc>
        <w:tc>
          <w:tcPr>
            <w:tcW w:w="0" w:type="auto"/>
            <w:hideMark/>
          </w:tcPr>
          <w:p w14:paraId="2051EDC4" w14:textId="77777777" w:rsidR="00B40966" w:rsidRPr="00B40966" w:rsidRDefault="00B40966" w:rsidP="00D54E0C">
            <w:pPr>
              <w:ind w:firstLine="34"/>
              <w:rPr>
                <w:rFonts w:eastAsia="Times"/>
                <w:sz w:val="18"/>
                <w:szCs w:val="18"/>
              </w:rPr>
            </w:pPr>
            <w:r w:rsidRPr="00B40966">
              <w:rPr>
                <w:rFonts w:eastAsia="Times"/>
                <w:sz w:val="18"/>
                <w:szCs w:val="18"/>
              </w:rPr>
              <w:t>0.001–0.009</w:t>
            </w:r>
          </w:p>
        </w:tc>
      </w:tr>
      <w:tr w:rsidR="00B40966" w:rsidRPr="00B40966" w14:paraId="2D640D56" w14:textId="77777777" w:rsidTr="00D54E0C">
        <w:trPr>
          <w:jc w:val="center"/>
        </w:trPr>
        <w:tc>
          <w:tcPr>
            <w:tcW w:w="0" w:type="auto"/>
            <w:hideMark/>
          </w:tcPr>
          <w:p w14:paraId="69E8870A" w14:textId="77777777" w:rsidR="00B40966" w:rsidRPr="00B40966" w:rsidRDefault="00B40966" w:rsidP="00D54E0C">
            <w:pPr>
              <w:ind w:firstLine="34"/>
              <w:rPr>
                <w:rFonts w:eastAsia="Times"/>
                <w:sz w:val="18"/>
                <w:szCs w:val="18"/>
              </w:rPr>
            </w:pPr>
            <w:r w:rsidRPr="00B40966">
              <w:rPr>
                <w:rFonts w:eastAsia="Times"/>
                <w:sz w:val="18"/>
                <w:szCs w:val="18"/>
              </w:rPr>
              <w:t>Sulfur oxides</w:t>
            </w:r>
          </w:p>
        </w:tc>
        <w:tc>
          <w:tcPr>
            <w:tcW w:w="0" w:type="auto"/>
            <w:hideMark/>
          </w:tcPr>
          <w:p w14:paraId="18918C1D" w14:textId="77777777" w:rsidR="00B40966" w:rsidRPr="00B40966" w:rsidRDefault="00B40966" w:rsidP="00D54E0C">
            <w:pPr>
              <w:ind w:firstLine="34"/>
              <w:rPr>
                <w:rFonts w:eastAsia="Times"/>
                <w:sz w:val="18"/>
                <w:szCs w:val="18"/>
              </w:rPr>
            </w:pPr>
            <w:r w:rsidRPr="00B40966">
              <w:rPr>
                <w:rFonts w:eastAsia="Times"/>
                <w:sz w:val="18"/>
                <w:szCs w:val="18"/>
              </w:rPr>
              <w:t>0–0.002</w:t>
            </w:r>
          </w:p>
        </w:tc>
        <w:tc>
          <w:tcPr>
            <w:tcW w:w="0" w:type="auto"/>
            <w:hideMark/>
          </w:tcPr>
          <w:p w14:paraId="22B8FA38" w14:textId="77777777" w:rsidR="00B40966" w:rsidRPr="00B40966" w:rsidRDefault="00B40966" w:rsidP="00D54E0C">
            <w:pPr>
              <w:ind w:firstLine="34"/>
              <w:rPr>
                <w:rFonts w:eastAsia="Times"/>
                <w:sz w:val="18"/>
                <w:szCs w:val="18"/>
              </w:rPr>
            </w:pPr>
            <w:r w:rsidRPr="00B40966">
              <w:rPr>
                <w:rFonts w:eastAsia="Times"/>
                <w:sz w:val="18"/>
                <w:szCs w:val="18"/>
              </w:rPr>
              <w:t>0–0.003</w:t>
            </w:r>
          </w:p>
        </w:tc>
      </w:tr>
      <w:tr w:rsidR="00B40966" w:rsidRPr="00B40966" w14:paraId="7B0B55FD" w14:textId="77777777" w:rsidTr="00D54E0C">
        <w:trPr>
          <w:jc w:val="center"/>
        </w:trPr>
        <w:tc>
          <w:tcPr>
            <w:tcW w:w="0" w:type="auto"/>
            <w:hideMark/>
          </w:tcPr>
          <w:p w14:paraId="726071A8" w14:textId="77777777" w:rsidR="00B40966" w:rsidRPr="00B40966" w:rsidRDefault="00B40966" w:rsidP="00D54E0C">
            <w:pPr>
              <w:ind w:firstLine="34"/>
              <w:rPr>
                <w:rFonts w:eastAsia="Times"/>
                <w:sz w:val="18"/>
                <w:szCs w:val="18"/>
              </w:rPr>
            </w:pPr>
            <w:r w:rsidRPr="00B40966">
              <w:rPr>
                <w:rFonts w:eastAsia="Times"/>
                <w:sz w:val="18"/>
                <w:szCs w:val="18"/>
              </w:rPr>
              <w:t>Carbon black</w:t>
            </w:r>
          </w:p>
        </w:tc>
        <w:tc>
          <w:tcPr>
            <w:tcW w:w="0" w:type="auto"/>
            <w:hideMark/>
          </w:tcPr>
          <w:p w14:paraId="78F53CEE" w14:textId="77777777" w:rsidR="00B40966" w:rsidRPr="00B40966" w:rsidRDefault="00B40966" w:rsidP="00D54E0C">
            <w:pPr>
              <w:ind w:firstLine="34"/>
              <w:rPr>
                <w:rFonts w:eastAsia="Times"/>
                <w:sz w:val="18"/>
                <w:szCs w:val="18"/>
              </w:rPr>
            </w:pPr>
            <w:r w:rsidRPr="00B40966">
              <w:rPr>
                <w:rFonts w:eastAsia="Times"/>
                <w:sz w:val="18"/>
                <w:szCs w:val="18"/>
              </w:rPr>
              <w:t>0–0.04</w:t>
            </w:r>
          </w:p>
        </w:tc>
        <w:tc>
          <w:tcPr>
            <w:tcW w:w="0" w:type="auto"/>
            <w:hideMark/>
          </w:tcPr>
          <w:p w14:paraId="732F5CE3" w14:textId="77777777" w:rsidR="00B40966" w:rsidRPr="00B40966" w:rsidRDefault="00B40966" w:rsidP="00D54E0C">
            <w:pPr>
              <w:ind w:firstLine="34"/>
              <w:rPr>
                <w:rFonts w:eastAsia="Times"/>
                <w:sz w:val="18"/>
                <w:szCs w:val="18"/>
              </w:rPr>
            </w:pPr>
            <w:r w:rsidRPr="00B40966">
              <w:rPr>
                <w:rFonts w:eastAsia="Times"/>
                <w:sz w:val="18"/>
                <w:szCs w:val="18"/>
              </w:rPr>
              <w:t>0.01–1.1</w:t>
            </w:r>
          </w:p>
        </w:tc>
      </w:tr>
      <w:tr w:rsidR="00B40966" w:rsidRPr="00B40966" w14:paraId="5BCA31FA" w14:textId="77777777" w:rsidTr="00D54E0C">
        <w:trPr>
          <w:jc w:val="center"/>
        </w:trPr>
        <w:tc>
          <w:tcPr>
            <w:tcW w:w="0" w:type="auto"/>
            <w:tcBorders>
              <w:bottom w:val="single" w:sz="12" w:space="0" w:color="auto"/>
            </w:tcBorders>
            <w:hideMark/>
          </w:tcPr>
          <w:p w14:paraId="7CEECFE8" w14:textId="77777777" w:rsidR="00B40966" w:rsidRPr="00B40966" w:rsidRDefault="00B40966" w:rsidP="00D54E0C">
            <w:pPr>
              <w:ind w:firstLine="34"/>
              <w:rPr>
                <w:rFonts w:eastAsia="Times"/>
                <w:sz w:val="18"/>
                <w:szCs w:val="18"/>
              </w:rPr>
            </w:pPr>
            <w:r w:rsidRPr="00B40966">
              <w:rPr>
                <w:rFonts w:eastAsia="Times"/>
                <w:sz w:val="18"/>
                <w:szCs w:val="18"/>
              </w:rPr>
              <w:t>Benzopyrene</w:t>
            </w:r>
          </w:p>
        </w:tc>
        <w:tc>
          <w:tcPr>
            <w:tcW w:w="0" w:type="auto"/>
            <w:tcBorders>
              <w:bottom w:val="single" w:sz="12" w:space="0" w:color="auto"/>
            </w:tcBorders>
            <w:hideMark/>
          </w:tcPr>
          <w:p w14:paraId="70AAE101" w14:textId="77777777" w:rsidR="00B40966" w:rsidRPr="00B40966" w:rsidRDefault="00B40966" w:rsidP="00D54E0C">
            <w:pPr>
              <w:ind w:firstLine="34"/>
              <w:rPr>
                <w:rFonts w:eastAsia="Times"/>
                <w:sz w:val="18"/>
                <w:szCs w:val="18"/>
              </w:rPr>
            </w:pPr>
            <w:r w:rsidRPr="00B40966">
              <w:rPr>
                <w:rFonts w:eastAsia="Times"/>
                <w:sz w:val="18"/>
                <w:szCs w:val="18"/>
              </w:rPr>
              <w:t>0.01–0.02</w:t>
            </w:r>
          </w:p>
        </w:tc>
        <w:tc>
          <w:tcPr>
            <w:tcW w:w="0" w:type="auto"/>
            <w:tcBorders>
              <w:bottom w:val="single" w:sz="12" w:space="0" w:color="auto"/>
            </w:tcBorders>
            <w:hideMark/>
          </w:tcPr>
          <w:p w14:paraId="6686C897" w14:textId="77777777" w:rsidR="00B40966" w:rsidRPr="00B40966" w:rsidRDefault="00B40966" w:rsidP="00D54E0C">
            <w:pPr>
              <w:ind w:firstLine="34"/>
              <w:rPr>
                <w:rFonts w:eastAsia="Times"/>
                <w:sz w:val="18"/>
                <w:szCs w:val="18"/>
              </w:rPr>
            </w:pPr>
            <w:r w:rsidRPr="00B40966">
              <w:rPr>
                <w:rFonts w:eastAsia="Times"/>
                <w:sz w:val="18"/>
                <w:szCs w:val="18"/>
              </w:rPr>
              <w:t>up to 0.01</w:t>
            </w:r>
          </w:p>
        </w:tc>
      </w:tr>
    </w:tbl>
    <w:p w14:paraId="1DC9D007" w14:textId="77777777" w:rsidR="00B40966" w:rsidRPr="00B40966" w:rsidRDefault="00B40966" w:rsidP="00D30C9A">
      <w:pPr>
        <w:pStyle w:val="ab"/>
        <w:spacing w:before="120" w:beforeAutospacing="0" w:after="0" w:afterAutospacing="0"/>
        <w:ind w:firstLine="284"/>
        <w:jc w:val="both"/>
        <w:rPr>
          <w:sz w:val="20"/>
          <w:szCs w:val="20"/>
          <w:lang w:val="en-US"/>
        </w:rPr>
      </w:pPr>
      <w:r w:rsidRPr="00B40966">
        <w:rPr>
          <w:sz w:val="20"/>
          <w:szCs w:val="20"/>
          <w:lang w:val="en-US"/>
        </w:rPr>
        <w:t>These harmful substances affect plants both directly—by destroying chlorophyll and cellular structures—and indirectly—by penetrating the root system through the soil. The degree of impact varies by gas composition and plant species.</w:t>
      </w:r>
    </w:p>
    <w:p w14:paraId="623E55B6" w14:textId="71906A81" w:rsidR="00B40966" w:rsidRPr="00B40966" w:rsidRDefault="00B40966" w:rsidP="00D30C9A">
      <w:pPr>
        <w:pStyle w:val="ab"/>
        <w:spacing w:before="0" w:beforeAutospacing="0" w:after="0" w:afterAutospacing="0"/>
        <w:ind w:firstLine="284"/>
        <w:jc w:val="both"/>
        <w:rPr>
          <w:sz w:val="20"/>
          <w:szCs w:val="20"/>
          <w:lang w:val="en-US"/>
        </w:rPr>
      </w:pPr>
      <w:r w:rsidRPr="00B40966">
        <w:rPr>
          <w:sz w:val="20"/>
          <w:szCs w:val="20"/>
          <w:lang w:val="en-US"/>
        </w:rPr>
        <w:t>To mitigate these environmental effects, one solution is the use of alternative fuels in combination with conventional ones. At present, almost all industrialized nations conduct extensive research to develop environmentally friendly, efficient, cost-effective, and readily available alternative fuels. Some options—such as liquefied petroleum gas, compressed natural gas, ethanol, methanol, and plant-based fuels—are already widely used [1</w:t>
      </w:r>
      <w:r w:rsidR="00520D86">
        <w:rPr>
          <w:sz w:val="20"/>
          <w:szCs w:val="20"/>
          <w:lang w:val="en-US"/>
        </w:rPr>
        <w:t>6</w:t>
      </w:r>
      <w:r w:rsidR="00051449">
        <w:rPr>
          <w:sz w:val="20"/>
          <w:szCs w:val="20"/>
          <w:lang w:val="en-US"/>
        </w:rPr>
        <w:t>, 17</w:t>
      </w:r>
      <w:r w:rsidRPr="00B40966">
        <w:rPr>
          <w:sz w:val="20"/>
          <w:szCs w:val="20"/>
          <w:lang w:val="en-US"/>
        </w:rPr>
        <w:t>].</w:t>
      </w:r>
    </w:p>
    <w:p w14:paraId="0C6B17AA" w14:textId="10F67D31" w:rsidR="00B40966" w:rsidRPr="00B40966" w:rsidRDefault="00B40966" w:rsidP="00D30C9A">
      <w:pPr>
        <w:pStyle w:val="ab"/>
        <w:spacing w:before="0" w:beforeAutospacing="0" w:after="0" w:afterAutospacing="0"/>
        <w:ind w:firstLine="284"/>
        <w:jc w:val="both"/>
        <w:rPr>
          <w:sz w:val="20"/>
          <w:szCs w:val="20"/>
          <w:lang w:val="en-US"/>
        </w:rPr>
      </w:pPr>
      <w:r w:rsidRPr="00B40966">
        <w:rPr>
          <w:sz w:val="20"/>
          <w:szCs w:val="20"/>
          <w:lang w:val="en-US"/>
        </w:rPr>
        <w:t>Hydrogen also stands out as a prospective motor fuel. Its main advantages include high energy content, clean combustion, and an essentially unlimited resource base. It has the highest energy-per-mass ratio among all chemical fuels [</w:t>
      </w:r>
      <w:r w:rsidR="00CA1C78">
        <w:rPr>
          <w:sz w:val="20"/>
          <w:szCs w:val="20"/>
          <w:lang w:val="en-US"/>
        </w:rPr>
        <w:t>1</w:t>
      </w:r>
      <w:r w:rsidR="00520D86">
        <w:rPr>
          <w:sz w:val="20"/>
          <w:szCs w:val="20"/>
          <w:lang w:val="en-US"/>
        </w:rPr>
        <w:t>8</w:t>
      </w:r>
      <w:r w:rsidRPr="00B40966">
        <w:rPr>
          <w:sz w:val="20"/>
          <w:szCs w:val="20"/>
          <w:lang w:val="en-US"/>
        </w:rPr>
        <w:t>]. Furthermore, hydrogen can be derived from diverse sources: nuclear energy, biomass, renewable sources, and conventional hydrocarbons.</w:t>
      </w:r>
    </w:p>
    <w:p w14:paraId="7651704F" w14:textId="77777777" w:rsidR="00D54E0C" w:rsidRDefault="00B40966" w:rsidP="00D30C9A">
      <w:pPr>
        <w:pStyle w:val="ab"/>
        <w:spacing w:before="0" w:beforeAutospacing="0" w:after="0" w:afterAutospacing="0"/>
        <w:ind w:firstLine="284"/>
        <w:jc w:val="both"/>
        <w:rPr>
          <w:sz w:val="20"/>
          <w:szCs w:val="20"/>
          <w:lang w:val="en-US"/>
        </w:rPr>
      </w:pPr>
      <w:r w:rsidRPr="00B40966">
        <w:rPr>
          <w:sz w:val="20"/>
          <w:szCs w:val="20"/>
          <w:lang w:val="en-US"/>
        </w:rPr>
        <w:t>Although no alternative fuel has yet fully displaced petroleum-based fuels due to economic and technical limitations, hydrogen remains among the most promising candidates for improving the ecological sustainability of internal combustion engines.</w:t>
      </w:r>
    </w:p>
    <w:p w14:paraId="53A1A243" w14:textId="30D5C50A" w:rsidR="000A6AB8" w:rsidRPr="00A64AED" w:rsidRDefault="00D30C9A" w:rsidP="00D30C9A">
      <w:pPr>
        <w:pStyle w:val="ab"/>
        <w:spacing w:before="240" w:beforeAutospacing="0" w:after="240" w:afterAutospacing="0"/>
        <w:jc w:val="center"/>
        <w:rPr>
          <w:lang w:val="en-US"/>
        </w:rPr>
      </w:pPr>
      <w:r w:rsidRPr="00A64AED">
        <w:rPr>
          <w:rFonts w:eastAsia="Times"/>
          <w:b/>
          <w:lang w:val="en-US"/>
        </w:rPr>
        <w:t>RESULTS</w:t>
      </w:r>
    </w:p>
    <w:p w14:paraId="4BEEAFC5" w14:textId="1659FEE1" w:rsidR="00D547C2" w:rsidRDefault="00D547C2" w:rsidP="00D30C9A">
      <w:pPr>
        <w:ind w:firstLine="284"/>
        <w:jc w:val="both"/>
        <w:rPr>
          <w:lang w:val="en-US"/>
        </w:rPr>
      </w:pPr>
      <w:r w:rsidRPr="00D547C2">
        <w:rPr>
          <w:lang w:val="en-US"/>
        </w:rPr>
        <w:t>The fundamental and theoretical calculations evaluating the effect of hydrogen addition to gasoline in a Cobalt vehicle engine are presented in Table 2. Key thermodynamic and performance parameters were recorded and compared for pure gasoline and gasoline enriched with 3–8% hydrogen</w:t>
      </w:r>
      <w:r w:rsidR="00520D86">
        <w:rPr>
          <w:lang w:val="en-US"/>
        </w:rPr>
        <w:t xml:space="preserve"> </w:t>
      </w:r>
      <w:r w:rsidR="00520D86" w:rsidRPr="00B40966">
        <w:rPr>
          <w:lang w:val="en-US"/>
        </w:rPr>
        <w:t>[</w:t>
      </w:r>
      <w:r w:rsidR="00520D86">
        <w:rPr>
          <w:lang w:val="en-US"/>
        </w:rPr>
        <w:t>19</w:t>
      </w:r>
      <w:r w:rsidR="00520D86" w:rsidRPr="00B40966">
        <w:rPr>
          <w:lang w:val="en-US"/>
        </w:rPr>
        <w:t>].</w:t>
      </w:r>
    </w:p>
    <w:p w14:paraId="681EFECB" w14:textId="77777777" w:rsidR="00051449" w:rsidRDefault="00051449" w:rsidP="00D30C9A">
      <w:pPr>
        <w:spacing w:before="120"/>
        <w:jc w:val="center"/>
        <w:rPr>
          <w:b/>
          <w:bCs/>
          <w:sz w:val="18"/>
          <w:szCs w:val="18"/>
          <w:lang w:val="en-US"/>
        </w:rPr>
      </w:pPr>
    </w:p>
    <w:p w14:paraId="1ED9ED63" w14:textId="6798B32F" w:rsidR="00D547C2" w:rsidRPr="00D30C9A" w:rsidRDefault="00D30C9A" w:rsidP="00D30C9A">
      <w:pPr>
        <w:spacing w:before="120"/>
        <w:jc w:val="center"/>
        <w:rPr>
          <w:sz w:val="18"/>
          <w:szCs w:val="18"/>
          <w:lang w:val="en-US"/>
        </w:rPr>
      </w:pPr>
      <w:r w:rsidRPr="00D30C9A">
        <w:rPr>
          <w:b/>
          <w:bCs/>
          <w:sz w:val="18"/>
          <w:szCs w:val="18"/>
          <w:lang w:val="en-US"/>
        </w:rPr>
        <w:lastRenderedPageBreak/>
        <w:t>TABLE</w:t>
      </w:r>
      <w:r w:rsidR="00D547C2" w:rsidRPr="00D30C9A">
        <w:rPr>
          <w:b/>
          <w:bCs/>
          <w:sz w:val="18"/>
          <w:szCs w:val="18"/>
          <w:lang w:val="en-US"/>
        </w:rPr>
        <w:t xml:space="preserve"> 2. </w:t>
      </w:r>
      <w:r w:rsidR="00D547C2" w:rsidRPr="00D30C9A">
        <w:rPr>
          <w:sz w:val="18"/>
          <w:szCs w:val="18"/>
          <w:lang w:val="en-US"/>
        </w:rPr>
        <w:t>Basic and theoretical calculations for hydrogen addition to gasoline in the Cobalt car engine</w:t>
      </w:r>
    </w:p>
    <w:tbl>
      <w:tblPr>
        <w:tblStyle w:val="a9"/>
        <w:tblW w:w="736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2"/>
        <w:gridCol w:w="894"/>
        <w:gridCol w:w="937"/>
        <w:gridCol w:w="1935"/>
      </w:tblGrid>
      <w:tr w:rsidR="00D547C2" w:rsidRPr="00515C6F" w14:paraId="33151C6D" w14:textId="77777777" w:rsidTr="00D54E0C">
        <w:trPr>
          <w:trHeight w:val="219"/>
          <w:jc w:val="center"/>
        </w:trPr>
        <w:tc>
          <w:tcPr>
            <w:tcW w:w="0" w:type="auto"/>
            <w:tcBorders>
              <w:top w:val="single" w:sz="12" w:space="0" w:color="auto"/>
              <w:bottom w:val="single" w:sz="4" w:space="0" w:color="auto"/>
            </w:tcBorders>
            <w:hideMark/>
          </w:tcPr>
          <w:p w14:paraId="2974BA1F" w14:textId="41C0F2AA" w:rsidR="00D547C2" w:rsidRPr="00515C6F" w:rsidRDefault="00D547C2" w:rsidP="00D547C2">
            <w:pPr>
              <w:jc w:val="center"/>
              <w:rPr>
                <w:rFonts w:ascii="Times New Roman" w:hAnsi="Times New Roman" w:cs="Times New Roman"/>
                <w:b/>
                <w:bCs/>
                <w:sz w:val="18"/>
                <w:szCs w:val="18"/>
              </w:rPr>
            </w:pPr>
            <w:proofErr w:type="spellStart"/>
            <w:r w:rsidRPr="00515C6F">
              <w:rPr>
                <w:rFonts w:ascii="Times New Roman" w:hAnsi="Times New Roman" w:cs="Times New Roman"/>
                <w:sz w:val="18"/>
                <w:szCs w:val="18"/>
              </w:rPr>
              <w:t>Internal</w:t>
            </w:r>
            <w:proofErr w:type="spellEnd"/>
            <w:r w:rsidRPr="00515C6F">
              <w:rPr>
                <w:rFonts w:ascii="Times New Roman" w:hAnsi="Times New Roman" w:cs="Times New Roman"/>
                <w:sz w:val="18"/>
                <w:szCs w:val="18"/>
              </w:rPr>
              <w:t xml:space="preserve"> </w:t>
            </w:r>
            <w:proofErr w:type="spellStart"/>
            <w:r w:rsidRPr="00515C6F">
              <w:rPr>
                <w:rFonts w:ascii="Times New Roman" w:hAnsi="Times New Roman" w:cs="Times New Roman"/>
                <w:sz w:val="18"/>
                <w:szCs w:val="18"/>
              </w:rPr>
              <w:t>combustion</w:t>
            </w:r>
            <w:proofErr w:type="spellEnd"/>
            <w:r w:rsidRPr="00515C6F">
              <w:rPr>
                <w:rFonts w:ascii="Times New Roman" w:hAnsi="Times New Roman" w:cs="Times New Roman"/>
                <w:sz w:val="18"/>
                <w:szCs w:val="18"/>
              </w:rPr>
              <w:t xml:space="preserve"> </w:t>
            </w:r>
            <w:proofErr w:type="spellStart"/>
            <w:r w:rsidRPr="00515C6F">
              <w:rPr>
                <w:rFonts w:ascii="Times New Roman" w:hAnsi="Times New Roman" w:cs="Times New Roman"/>
                <w:sz w:val="18"/>
                <w:szCs w:val="18"/>
              </w:rPr>
              <w:t>engine</w:t>
            </w:r>
            <w:proofErr w:type="spellEnd"/>
            <w:r w:rsidRPr="00515C6F">
              <w:rPr>
                <w:rFonts w:ascii="Times New Roman" w:hAnsi="Times New Roman" w:cs="Times New Roman"/>
                <w:sz w:val="18"/>
                <w:szCs w:val="18"/>
              </w:rPr>
              <w:t xml:space="preserve"> </w:t>
            </w:r>
            <w:proofErr w:type="spellStart"/>
            <w:r w:rsidRPr="00515C6F">
              <w:rPr>
                <w:rFonts w:ascii="Times New Roman" w:hAnsi="Times New Roman" w:cs="Times New Roman"/>
                <w:sz w:val="18"/>
                <w:szCs w:val="18"/>
              </w:rPr>
              <w:t>indicators</w:t>
            </w:r>
            <w:proofErr w:type="spellEnd"/>
          </w:p>
        </w:tc>
        <w:tc>
          <w:tcPr>
            <w:tcW w:w="0" w:type="auto"/>
            <w:tcBorders>
              <w:top w:val="single" w:sz="12" w:space="0" w:color="auto"/>
              <w:bottom w:val="single" w:sz="4" w:space="0" w:color="auto"/>
            </w:tcBorders>
            <w:hideMark/>
          </w:tcPr>
          <w:p w14:paraId="7E14F1DA"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Unit</w:t>
            </w:r>
          </w:p>
        </w:tc>
        <w:tc>
          <w:tcPr>
            <w:tcW w:w="0" w:type="auto"/>
            <w:tcBorders>
              <w:top w:val="single" w:sz="12" w:space="0" w:color="auto"/>
              <w:bottom w:val="single" w:sz="4" w:space="0" w:color="auto"/>
            </w:tcBorders>
            <w:hideMark/>
          </w:tcPr>
          <w:p w14:paraId="048F3A0D" w14:textId="77777777" w:rsidR="00D547C2" w:rsidRPr="00515C6F" w:rsidRDefault="00D547C2" w:rsidP="00D547C2">
            <w:pPr>
              <w:jc w:val="center"/>
              <w:rPr>
                <w:rFonts w:ascii="Times New Roman" w:hAnsi="Times New Roman" w:cs="Times New Roman"/>
                <w:sz w:val="18"/>
                <w:szCs w:val="18"/>
              </w:rPr>
            </w:pPr>
            <w:proofErr w:type="spellStart"/>
            <w:r w:rsidRPr="00515C6F">
              <w:rPr>
                <w:rFonts w:ascii="Times New Roman" w:hAnsi="Times New Roman" w:cs="Times New Roman"/>
                <w:sz w:val="18"/>
                <w:szCs w:val="18"/>
              </w:rPr>
              <w:t>Gasoline</w:t>
            </w:r>
            <w:proofErr w:type="spellEnd"/>
          </w:p>
        </w:tc>
        <w:tc>
          <w:tcPr>
            <w:tcW w:w="0" w:type="auto"/>
            <w:tcBorders>
              <w:top w:val="single" w:sz="12" w:space="0" w:color="auto"/>
              <w:bottom w:val="single" w:sz="4" w:space="0" w:color="auto"/>
            </w:tcBorders>
            <w:hideMark/>
          </w:tcPr>
          <w:p w14:paraId="05B2AFF6" w14:textId="77777777" w:rsidR="00D547C2" w:rsidRPr="00515C6F" w:rsidRDefault="00D547C2" w:rsidP="00D547C2">
            <w:pPr>
              <w:jc w:val="center"/>
              <w:rPr>
                <w:rFonts w:ascii="Times New Roman" w:hAnsi="Times New Roman" w:cs="Times New Roman"/>
                <w:sz w:val="18"/>
                <w:szCs w:val="18"/>
              </w:rPr>
            </w:pPr>
            <w:proofErr w:type="spellStart"/>
            <w:r w:rsidRPr="00515C6F">
              <w:rPr>
                <w:rFonts w:ascii="Times New Roman" w:hAnsi="Times New Roman" w:cs="Times New Roman"/>
                <w:sz w:val="18"/>
                <w:szCs w:val="18"/>
              </w:rPr>
              <w:t>Gasoline</w:t>
            </w:r>
            <w:proofErr w:type="spellEnd"/>
            <w:r w:rsidRPr="00515C6F">
              <w:rPr>
                <w:rFonts w:ascii="Times New Roman" w:hAnsi="Times New Roman" w:cs="Times New Roman"/>
                <w:sz w:val="18"/>
                <w:szCs w:val="18"/>
              </w:rPr>
              <w:t xml:space="preserve"> + </w:t>
            </w:r>
            <w:proofErr w:type="spellStart"/>
            <w:r w:rsidRPr="00515C6F">
              <w:rPr>
                <w:rFonts w:ascii="Times New Roman" w:hAnsi="Times New Roman" w:cs="Times New Roman"/>
                <w:sz w:val="18"/>
                <w:szCs w:val="18"/>
              </w:rPr>
              <w:t>Hydrogen</w:t>
            </w:r>
            <w:proofErr w:type="spellEnd"/>
          </w:p>
        </w:tc>
      </w:tr>
      <w:tr w:rsidR="00D547C2" w:rsidRPr="00515C6F" w14:paraId="6384E43C" w14:textId="77777777" w:rsidTr="00D54E0C">
        <w:trPr>
          <w:trHeight w:val="231"/>
          <w:jc w:val="center"/>
        </w:trPr>
        <w:tc>
          <w:tcPr>
            <w:tcW w:w="0" w:type="auto"/>
            <w:tcBorders>
              <w:top w:val="single" w:sz="4" w:space="0" w:color="auto"/>
            </w:tcBorders>
            <w:hideMark/>
          </w:tcPr>
          <w:p w14:paraId="4BF053F2" w14:textId="77777777" w:rsidR="00D547C2" w:rsidRPr="00515C6F" w:rsidRDefault="00D547C2" w:rsidP="00D547C2">
            <w:pPr>
              <w:rPr>
                <w:rFonts w:ascii="Times New Roman" w:hAnsi="Times New Roman" w:cs="Times New Roman"/>
                <w:sz w:val="18"/>
                <w:szCs w:val="18"/>
                <w:lang w:val="en-US"/>
              </w:rPr>
            </w:pPr>
            <w:r w:rsidRPr="00515C6F">
              <w:rPr>
                <w:rFonts w:ascii="Times New Roman" w:hAnsi="Times New Roman" w:cs="Times New Roman"/>
                <w:sz w:val="18"/>
                <w:szCs w:val="18"/>
                <w:lang w:val="en-US"/>
              </w:rPr>
              <w:t>Molar amount of CO₂, M₍CO₂₎</w:t>
            </w:r>
          </w:p>
        </w:tc>
        <w:tc>
          <w:tcPr>
            <w:tcW w:w="0" w:type="auto"/>
            <w:tcBorders>
              <w:top w:val="single" w:sz="4" w:space="0" w:color="auto"/>
            </w:tcBorders>
            <w:hideMark/>
          </w:tcPr>
          <w:p w14:paraId="5DD1364A" w14:textId="77777777" w:rsidR="00D547C2" w:rsidRPr="00515C6F" w:rsidRDefault="00D547C2" w:rsidP="00D547C2">
            <w:pPr>
              <w:jc w:val="center"/>
              <w:rPr>
                <w:rFonts w:ascii="Times New Roman" w:hAnsi="Times New Roman" w:cs="Times New Roman"/>
                <w:sz w:val="18"/>
                <w:szCs w:val="18"/>
              </w:rPr>
            </w:pPr>
            <w:proofErr w:type="spellStart"/>
            <w:r w:rsidRPr="00515C6F">
              <w:rPr>
                <w:rFonts w:ascii="Times New Roman" w:hAnsi="Times New Roman" w:cs="Times New Roman"/>
                <w:sz w:val="18"/>
                <w:szCs w:val="18"/>
              </w:rPr>
              <w:t>kmol</w:t>
            </w:r>
            <w:proofErr w:type="spellEnd"/>
            <w:r w:rsidRPr="00515C6F">
              <w:rPr>
                <w:rFonts w:ascii="Times New Roman" w:hAnsi="Times New Roman" w:cs="Times New Roman"/>
                <w:sz w:val="18"/>
                <w:szCs w:val="18"/>
              </w:rPr>
              <w:t>/</w:t>
            </w:r>
            <w:proofErr w:type="spellStart"/>
            <w:r w:rsidRPr="00515C6F">
              <w:rPr>
                <w:rFonts w:ascii="Times New Roman" w:hAnsi="Times New Roman" w:cs="Times New Roman"/>
                <w:sz w:val="18"/>
                <w:szCs w:val="18"/>
              </w:rPr>
              <w:t>kg</w:t>
            </w:r>
            <w:proofErr w:type="spellEnd"/>
          </w:p>
        </w:tc>
        <w:tc>
          <w:tcPr>
            <w:tcW w:w="0" w:type="auto"/>
            <w:tcBorders>
              <w:top w:val="single" w:sz="4" w:space="0" w:color="auto"/>
            </w:tcBorders>
            <w:hideMark/>
          </w:tcPr>
          <w:p w14:paraId="3E1CAABF"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0.064</w:t>
            </w:r>
          </w:p>
        </w:tc>
        <w:tc>
          <w:tcPr>
            <w:tcW w:w="0" w:type="auto"/>
            <w:tcBorders>
              <w:top w:val="single" w:sz="4" w:space="0" w:color="auto"/>
            </w:tcBorders>
            <w:hideMark/>
          </w:tcPr>
          <w:p w14:paraId="6CCF3082"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0.061</w:t>
            </w:r>
          </w:p>
        </w:tc>
      </w:tr>
      <w:tr w:rsidR="00D547C2" w:rsidRPr="00515C6F" w14:paraId="4BE745F9" w14:textId="77777777" w:rsidTr="00D54E0C">
        <w:trPr>
          <w:trHeight w:val="219"/>
          <w:jc w:val="center"/>
        </w:trPr>
        <w:tc>
          <w:tcPr>
            <w:tcW w:w="0" w:type="auto"/>
            <w:hideMark/>
          </w:tcPr>
          <w:p w14:paraId="7C34B91F" w14:textId="77777777" w:rsidR="00D547C2" w:rsidRPr="00515C6F" w:rsidRDefault="00D547C2" w:rsidP="00D547C2">
            <w:pPr>
              <w:rPr>
                <w:rFonts w:ascii="Times New Roman" w:hAnsi="Times New Roman" w:cs="Times New Roman"/>
                <w:sz w:val="18"/>
                <w:szCs w:val="18"/>
              </w:rPr>
            </w:pPr>
            <w:proofErr w:type="spellStart"/>
            <w:r w:rsidRPr="00515C6F">
              <w:rPr>
                <w:rFonts w:ascii="Times New Roman" w:hAnsi="Times New Roman" w:cs="Times New Roman"/>
                <w:sz w:val="18"/>
                <w:szCs w:val="18"/>
              </w:rPr>
              <w:t>Theoretical</w:t>
            </w:r>
            <w:proofErr w:type="spellEnd"/>
            <w:r w:rsidRPr="00515C6F">
              <w:rPr>
                <w:rFonts w:ascii="Times New Roman" w:hAnsi="Times New Roman" w:cs="Times New Roman"/>
                <w:sz w:val="18"/>
                <w:szCs w:val="18"/>
              </w:rPr>
              <w:t xml:space="preserve"> </w:t>
            </w:r>
            <w:proofErr w:type="spellStart"/>
            <w:r w:rsidRPr="00515C6F">
              <w:rPr>
                <w:rFonts w:ascii="Times New Roman" w:hAnsi="Times New Roman" w:cs="Times New Roman"/>
                <w:sz w:val="18"/>
                <w:szCs w:val="18"/>
              </w:rPr>
              <w:t>air</w:t>
            </w:r>
            <w:proofErr w:type="spellEnd"/>
            <w:r w:rsidRPr="00515C6F">
              <w:rPr>
                <w:rFonts w:ascii="Times New Roman" w:hAnsi="Times New Roman" w:cs="Times New Roman"/>
                <w:sz w:val="18"/>
                <w:szCs w:val="18"/>
              </w:rPr>
              <w:t xml:space="preserve"> </w:t>
            </w:r>
            <w:proofErr w:type="spellStart"/>
            <w:r w:rsidRPr="00515C6F">
              <w:rPr>
                <w:rFonts w:ascii="Times New Roman" w:hAnsi="Times New Roman" w:cs="Times New Roman"/>
                <w:sz w:val="18"/>
                <w:szCs w:val="18"/>
              </w:rPr>
              <w:t>requirement</w:t>
            </w:r>
            <w:proofErr w:type="spellEnd"/>
            <w:r w:rsidRPr="00515C6F">
              <w:rPr>
                <w:rFonts w:ascii="Times New Roman" w:hAnsi="Times New Roman" w:cs="Times New Roman"/>
                <w:sz w:val="18"/>
                <w:szCs w:val="18"/>
              </w:rPr>
              <w:t>, L₀</w:t>
            </w:r>
          </w:p>
        </w:tc>
        <w:tc>
          <w:tcPr>
            <w:tcW w:w="0" w:type="auto"/>
            <w:hideMark/>
          </w:tcPr>
          <w:p w14:paraId="0DAEC69D" w14:textId="77777777" w:rsidR="00D547C2" w:rsidRPr="00515C6F" w:rsidRDefault="00D547C2" w:rsidP="00D547C2">
            <w:pPr>
              <w:jc w:val="center"/>
              <w:rPr>
                <w:rFonts w:ascii="Times New Roman" w:hAnsi="Times New Roman" w:cs="Times New Roman"/>
                <w:sz w:val="18"/>
                <w:szCs w:val="18"/>
              </w:rPr>
            </w:pPr>
            <w:proofErr w:type="spellStart"/>
            <w:r w:rsidRPr="00515C6F">
              <w:rPr>
                <w:rFonts w:ascii="Times New Roman" w:hAnsi="Times New Roman" w:cs="Times New Roman"/>
                <w:sz w:val="18"/>
                <w:szCs w:val="18"/>
              </w:rPr>
              <w:t>kmol</w:t>
            </w:r>
            <w:proofErr w:type="spellEnd"/>
            <w:r w:rsidRPr="00515C6F">
              <w:rPr>
                <w:rFonts w:ascii="Times New Roman" w:hAnsi="Times New Roman" w:cs="Times New Roman"/>
                <w:sz w:val="18"/>
                <w:szCs w:val="18"/>
              </w:rPr>
              <w:t>/</w:t>
            </w:r>
            <w:proofErr w:type="spellStart"/>
            <w:r w:rsidRPr="00515C6F">
              <w:rPr>
                <w:rFonts w:ascii="Times New Roman" w:hAnsi="Times New Roman" w:cs="Times New Roman"/>
                <w:sz w:val="18"/>
                <w:szCs w:val="18"/>
              </w:rPr>
              <w:t>kg</w:t>
            </w:r>
            <w:proofErr w:type="spellEnd"/>
          </w:p>
        </w:tc>
        <w:tc>
          <w:tcPr>
            <w:tcW w:w="0" w:type="auto"/>
            <w:hideMark/>
          </w:tcPr>
          <w:p w14:paraId="05061B54"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14.95</w:t>
            </w:r>
          </w:p>
        </w:tc>
        <w:tc>
          <w:tcPr>
            <w:tcW w:w="0" w:type="auto"/>
            <w:hideMark/>
          </w:tcPr>
          <w:p w14:paraId="56531206"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19.91</w:t>
            </w:r>
          </w:p>
        </w:tc>
      </w:tr>
      <w:tr w:rsidR="00D547C2" w:rsidRPr="00515C6F" w14:paraId="4F1D82FB" w14:textId="77777777" w:rsidTr="00D54E0C">
        <w:trPr>
          <w:trHeight w:val="219"/>
          <w:jc w:val="center"/>
        </w:trPr>
        <w:tc>
          <w:tcPr>
            <w:tcW w:w="0" w:type="auto"/>
            <w:hideMark/>
          </w:tcPr>
          <w:p w14:paraId="02743A7A" w14:textId="77777777" w:rsidR="00D547C2" w:rsidRPr="00515C6F" w:rsidRDefault="00D547C2" w:rsidP="00D547C2">
            <w:pPr>
              <w:rPr>
                <w:rFonts w:ascii="Times New Roman" w:hAnsi="Times New Roman" w:cs="Times New Roman"/>
                <w:sz w:val="18"/>
                <w:szCs w:val="18"/>
              </w:rPr>
            </w:pPr>
            <w:proofErr w:type="spellStart"/>
            <w:r w:rsidRPr="00515C6F">
              <w:rPr>
                <w:rFonts w:ascii="Times New Roman" w:hAnsi="Times New Roman" w:cs="Times New Roman"/>
                <w:sz w:val="18"/>
                <w:szCs w:val="18"/>
              </w:rPr>
              <w:t>Molecular</w:t>
            </w:r>
            <w:proofErr w:type="spellEnd"/>
            <w:r w:rsidRPr="00515C6F">
              <w:rPr>
                <w:rFonts w:ascii="Times New Roman" w:hAnsi="Times New Roman" w:cs="Times New Roman"/>
                <w:sz w:val="18"/>
                <w:szCs w:val="18"/>
              </w:rPr>
              <w:t xml:space="preserve"> </w:t>
            </w:r>
            <w:proofErr w:type="spellStart"/>
            <w:r w:rsidRPr="00515C6F">
              <w:rPr>
                <w:rFonts w:ascii="Times New Roman" w:hAnsi="Times New Roman" w:cs="Times New Roman"/>
                <w:sz w:val="18"/>
                <w:szCs w:val="18"/>
              </w:rPr>
              <w:t>change</w:t>
            </w:r>
            <w:proofErr w:type="spellEnd"/>
            <w:r w:rsidRPr="00515C6F">
              <w:rPr>
                <w:rFonts w:ascii="Times New Roman" w:hAnsi="Times New Roman" w:cs="Times New Roman"/>
                <w:sz w:val="18"/>
                <w:szCs w:val="18"/>
              </w:rPr>
              <w:t xml:space="preserve"> </w:t>
            </w:r>
            <w:proofErr w:type="spellStart"/>
            <w:r w:rsidRPr="00515C6F">
              <w:rPr>
                <w:rFonts w:ascii="Times New Roman" w:hAnsi="Times New Roman" w:cs="Times New Roman"/>
                <w:sz w:val="18"/>
                <w:szCs w:val="18"/>
              </w:rPr>
              <w:t>coefficient</w:t>
            </w:r>
            <w:proofErr w:type="spellEnd"/>
            <w:r w:rsidRPr="00515C6F">
              <w:rPr>
                <w:rFonts w:ascii="Times New Roman" w:hAnsi="Times New Roman" w:cs="Times New Roman"/>
                <w:sz w:val="18"/>
                <w:szCs w:val="18"/>
              </w:rPr>
              <w:t>, μ₀</w:t>
            </w:r>
          </w:p>
        </w:tc>
        <w:tc>
          <w:tcPr>
            <w:tcW w:w="0" w:type="auto"/>
            <w:hideMark/>
          </w:tcPr>
          <w:p w14:paraId="3FF405B4"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w:t>
            </w:r>
          </w:p>
        </w:tc>
        <w:tc>
          <w:tcPr>
            <w:tcW w:w="0" w:type="auto"/>
            <w:hideMark/>
          </w:tcPr>
          <w:p w14:paraId="0F8BAAC1"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1.067</w:t>
            </w:r>
          </w:p>
        </w:tc>
        <w:tc>
          <w:tcPr>
            <w:tcW w:w="0" w:type="auto"/>
            <w:hideMark/>
          </w:tcPr>
          <w:p w14:paraId="7C2268DB"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1.087</w:t>
            </w:r>
          </w:p>
        </w:tc>
      </w:tr>
      <w:tr w:rsidR="00D547C2" w:rsidRPr="00515C6F" w14:paraId="6B69E657" w14:textId="77777777" w:rsidTr="00D54E0C">
        <w:trPr>
          <w:trHeight w:val="219"/>
          <w:jc w:val="center"/>
        </w:trPr>
        <w:tc>
          <w:tcPr>
            <w:tcW w:w="0" w:type="auto"/>
            <w:hideMark/>
          </w:tcPr>
          <w:p w14:paraId="3A36C6E7" w14:textId="77777777" w:rsidR="00D547C2" w:rsidRPr="00515C6F" w:rsidRDefault="00D547C2" w:rsidP="00D547C2">
            <w:pPr>
              <w:rPr>
                <w:rFonts w:ascii="Times New Roman" w:hAnsi="Times New Roman" w:cs="Times New Roman"/>
                <w:sz w:val="18"/>
                <w:szCs w:val="18"/>
                <w:lang w:val="en-US"/>
              </w:rPr>
            </w:pPr>
            <w:r w:rsidRPr="00515C6F">
              <w:rPr>
                <w:rFonts w:ascii="Times New Roman" w:hAnsi="Times New Roman" w:cs="Times New Roman"/>
                <w:sz w:val="18"/>
                <w:szCs w:val="18"/>
                <w:lang w:val="en-US"/>
              </w:rPr>
              <w:t>Molar amount of charge, M₁</w:t>
            </w:r>
          </w:p>
        </w:tc>
        <w:tc>
          <w:tcPr>
            <w:tcW w:w="0" w:type="auto"/>
            <w:hideMark/>
          </w:tcPr>
          <w:p w14:paraId="62795F16" w14:textId="77777777" w:rsidR="00D547C2" w:rsidRPr="00515C6F" w:rsidRDefault="00D547C2" w:rsidP="00D547C2">
            <w:pPr>
              <w:jc w:val="center"/>
              <w:rPr>
                <w:rFonts w:ascii="Times New Roman" w:hAnsi="Times New Roman" w:cs="Times New Roman"/>
                <w:sz w:val="18"/>
                <w:szCs w:val="18"/>
              </w:rPr>
            </w:pPr>
            <w:proofErr w:type="spellStart"/>
            <w:r w:rsidRPr="00515C6F">
              <w:rPr>
                <w:rFonts w:ascii="Times New Roman" w:hAnsi="Times New Roman" w:cs="Times New Roman"/>
                <w:sz w:val="18"/>
                <w:szCs w:val="18"/>
              </w:rPr>
              <w:t>kmol</w:t>
            </w:r>
            <w:proofErr w:type="spellEnd"/>
            <w:r w:rsidRPr="00515C6F">
              <w:rPr>
                <w:rFonts w:ascii="Times New Roman" w:hAnsi="Times New Roman" w:cs="Times New Roman"/>
                <w:sz w:val="18"/>
                <w:szCs w:val="18"/>
              </w:rPr>
              <w:t>/</w:t>
            </w:r>
            <w:proofErr w:type="spellStart"/>
            <w:r w:rsidRPr="00515C6F">
              <w:rPr>
                <w:rFonts w:ascii="Times New Roman" w:hAnsi="Times New Roman" w:cs="Times New Roman"/>
                <w:sz w:val="18"/>
                <w:szCs w:val="18"/>
              </w:rPr>
              <w:t>kg</w:t>
            </w:r>
            <w:proofErr w:type="spellEnd"/>
          </w:p>
        </w:tc>
        <w:tc>
          <w:tcPr>
            <w:tcW w:w="0" w:type="auto"/>
            <w:hideMark/>
          </w:tcPr>
          <w:p w14:paraId="6541C0A8"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0.49</w:t>
            </w:r>
          </w:p>
        </w:tc>
        <w:tc>
          <w:tcPr>
            <w:tcW w:w="0" w:type="auto"/>
            <w:hideMark/>
          </w:tcPr>
          <w:p w14:paraId="2688DBED"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0.51</w:t>
            </w:r>
          </w:p>
        </w:tc>
      </w:tr>
      <w:tr w:rsidR="00D547C2" w:rsidRPr="00515C6F" w14:paraId="3703EF93" w14:textId="77777777" w:rsidTr="00D54E0C">
        <w:trPr>
          <w:trHeight w:val="219"/>
          <w:jc w:val="center"/>
        </w:trPr>
        <w:tc>
          <w:tcPr>
            <w:tcW w:w="0" w:type="auto"/>
            <w:hideMark/>
          </w:tcPr>
          <w:p w14:paraId="58B6903D" w14:textId="77777777" w:rsidR="00D547C2" w:rsidRPr="00515C6F" w:rsidRDefault="00D547C2" w:rsidP="00D547C2">
            <w:pPr>
              <w:rPr>
                <w:rFonts w:ascii="Times New Roman" w:hAnsi="Times New Roman" w:cs="Times New Roman"/>
                <w:sz w:val="18"/>
                <w:szCs w:val="18"/>
                <w:lang w:val="en-US"/>
              </w:rPr>
            </w:pPr>
            <w:r w:rsidRPr="00515C6F">
              <w:rPr>
                <w:rFonts w:ascii="Times New Roman" w:hAnsi="Times New Roman" w:cs="Times New Roman"/>
                <w:sz w:val="18"/>
                <w:szCs w:val="18"/>
                <w:lang w:val="en-US"/>
              </w:rPr>
              <w:t>Molar amount of combustion products, M₂</w:t>
            </w:r>
          </w:p>
        </w:tc>
        <w:tc>
          <w:tcPr>
            <w:tcW w:w="0" w:type="auto"/>
            <w:hideMark/>
          </w:tcPr>
          <w:p w14:paraId="6EC85F15" w14:textId="77777777" w:rsidR="00D547C2" w:rsidRPr="00515C6F" w:rsidRDefault="00D547C2" w:rsidP="00D547C2">
            <w:pPr>
              <w:jc w:val="center"/>
              <w:rPr>
                <w:rFonts w:ascii="Times New Roman" w:hAnsi="Times New Roman" w:cs="Times New Roman"/>
                <w:sz w:val="18"/>
                <w:szCs w:val="18"/>
              </w:rPr>
            </w:pPr>
            <w:proofErr w:type="spellStart"/>
            <w:r w:rsidRPr="00515C6F">
              <w:rPr>
                <w:rFonts w:ascii="Times New Roman" w:hAnsi="Times New Roman" w:cs="Times New Roman"/>
                <w:sz w:val="18"/>
                <w:szCs w:val="18"/>
              </w:rPr>
              <w:t>kmol</w:t>
            </w:r>
            <w:proofErr w:type="spellEnd"/>
            <w:r w:rsidRPr="00515C6F">
              <w:rPr>
                <w:rFonts w:ascii="Times New Roman" w:hAnsi="Times New Roman" w:cs="Times New Roman"/>
                <w:sz w:val="18"/>
                <w:szCs w:val="18"/>
              </w:rPr>
              <w:t>/</w:t>
            </w:r>
            <w:proofErr w:type="spellStart"/>
            <w:r w:rsidRPr="00515C6F">
              <w:rPr>
                <w:rFonts w:ascii="Times New Roman" w:hAnsi="Times New Roman" w:cs="Times New Roman"/>
                <w:sz w:val="18"/>
                <w:szCs w:val="18"/>
              </w:rPr>
              <w:t>kg</w:t>
            </w:r>
            <w:proofErr w:type="spellEnd"/>
          </w:p>
        </w:tc>
        <w:tc>
          <w:tcPr>
            <w:tcW w:w="0" w:type="auto"/>
            <w:hideMark/>
          </w:tcPr>
          <w:p w14:paraId="17F48A30"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0.528</w:t>
            </w:r>
          </w:p>
        </w:tc>
        <w:tc>
          <w:tcPr>
            <w:tcW w:w="0" w:type="auto"/>
            <w:hideMark/>
          </w:tcPr>
          <w:p w14:paraId="1B661A19"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0.531</w:t>
            </w:r>
          </w:p>
        </w:tc>
      </w:tr>
      <w:tr w:rsidR="00D547C2" w:rsidRPr="00515C6F" w14:paraId="62B9FCC9" w14:textId="77777777" w:rsidTr="00D54E0C">
        <w:trPr>
          <w:trHeight w:val="219"/>
          <w:jc w:val="center"/>
        </w:trPr>
        <w:tc>
          <w:tcPr>
            <w:tcW w:w="0" w:type="auto"/>
            <w:hideMark/>
          </w:tcPr>
          <w:p w14:paraId="2D0AA09D" w14:textId="77777777" w:rsidR="00D547C2" w:rsidRPr="00515C6F" w:rsidRDefault="00D547C2" w:rsidP="00D547C2">
            <w:pPr>
              <w:rPr>
                <w:rFonts w:ascii="Times New Roman" w:hAnsi="Times New Roman" w:cs="Times New Roman"/>
                <w:sz w:val="18"/>
                <w:szCs w:val="18"/>
                <w:lang w:val="en-US"/>
              </w:rPr>
            </w:pPr>
            <w:r w:rsidRPr="00515C6F">
              <w:rPr>
                <w:rFonts w:ascii="Times New Roman" w:hAnsi="Times New Roman" w:cs="Times New Roman"/>
                <w:sz w:val="18"/>
                <w:szCs w:val="18"/>
                <w:lang w:val="en-US"/>
              </w:rPr>
              <w:t xml:space="preserve">Degree of pressure rise, </w:t>
            </w:r>
            <w:r w:rsidRPr="00515C6F">
              <w:rPr>
                <w:rFonts w:ascii="Times New Roman" w:hAnsi="Times New Roman" w:cs="Times New Roman"/>
                <w:sz w:val="18"/>
                <w:szCs w:val="18"/>
              </w:rPr>
              <w:t>λ</w:t>
            </w:r>
          </w:p>
        </w:tc>
        <w:tc>
          <w:tcPr>
            <w:tcW w:w="0" w:type="auto"/>
            <w:hideMark/>
          </w:tcPr>
          <w:p w14:paraId="0BC06215"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w:t>
            </w:r>
          </w:p>
        </w:tc>
        <w:tc>
          <w:tcPr>
            <w:tcW w:w="0" w:type="auto"/>
            <w:hideMark/>
          </w:tcPr>
          <w:p w14:paraId="6E7F7832"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3.438</w:t>
            </w:r>
          </w:p>
        </w:tc>
        <w:tc>
          <w:tcPr>
            <w:tcW w:w="0" w:type="auto"/>
            <w:hideMark/>
          </w:tcPr>
          <w:p w14:paraId="2B331BB0"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3.79</w:t>
            </w:r>
          </w:p>
        </w:tc>
      </w:tr>
      <w:tr w:rsidR="00D547C2" w:rsidRPr="00515C6F" w14:paraId="20606835" w14:textId="77777777" w:rsidTr="00D54E0C">
        <w:trPr>
          <w:trHeight w:val="231"/>
          <w:jc w:val="center"/>
        </w:trPr>
        <w:tc>
          <w:tcPr>
            <w:tcW w:w="0" w:type="auto"/>
            <w:hideMark/>
          </w:tcPr>
          <w:p w14:paraId="1423A0A9" w14:textId="77777777" w:rsidR="00D547C2" w:rsidRPr="00515C6F" w:rsidRDefault="00D547C2" w:rsidP="00D547C2">
            <w:pPr>
              <w:rPr>
                <w:rFonts w:ascii="Times New Roman" w:hAnsi="Times New Roman" w:cs="Times New Roman"/>
                <w:sz w:val="18"/>
                <w:szCs w:val="18"/>
              </w:rPr>
            </w:pPr>
            <w:proofErr w:type="spellStart"/>
            <w:r w:rsidRPr="00515C6F">
              <w:rPr>
                <w:rFonts w:ascii="Times New Roman" w:hAnsi="Times New Roman" w:cs="Times New Roman"/>
                <w:sz w:val="18"/>
                <w:szCs w:val="18"/>
              </w:rPr>
              <w:t>Filling</w:t>
            </w:r>
            <w:proofErr w:type="spellEnd"/>
            <w:r w:rsidRPr="00515C6F">
              <w:rPr>
                <w:rFonts w:ascii="Times New Roman" w:hAnsi="Times New Roman" w:cs="Times New Roman"/>
                <w:sz w:val="18"/>
                <w:szCs w:val="18"/>
              </w:rPr>
              <w:t xml:space="preserve"> </w:t>
            </w:r>
            <w:proofErr w:type="spellStart"/>
            <w:r w:rsidRPr="00515C6F">
              <w:rPr>
                <w:rFonts w:ascii="Times New Roman" w:hAnsi="Times New Roman" w:cs="Times New Roman"/>
                <w:sz w:val="18"/>
                <w:szCs w:val="18"/>
              </w:rPr>
              <w:t>factor</w:t>
            </w:r>
            <w:proofErr w:type="spellEnd"/>
            <w:r w:rsidRPr="00515C6F">
              <w:rPr>
                <w:rFonts w:ascii="Times New Roman" w:hAnsi="Times New Roman" w:cs="Times New Roman"/>
                <w:sz w:val="18"/>
                <w:szCs w:val="18"/>
              </w:rPr>
              <w:t>, η</w:t>
            </w:r>
          </w:p>
        </w:tc>
        <w:tc>
          <w:tcPr>
            <w:tcW w:w="0" w:type="auto"/>
            <w:hideMark/>
          </w:tcPr>
          <w:p w14:paraId="35D72D9D"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w:t>
            </w:r>
          </w:p>
        </w:tc>
        <w:tc>
          <w:tcPr>
            <w:tcW w:w="0" w:type="auto"/>
            <w:hideMark/>
          </w:tcPr>
          <w:p w14:paraId="1AFDBF0C"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0.983</w:t>
            </w:r>
          </w:p>
        </w:tc>
        <w:tc>
          <w:tcPr>
            <w:tcW w:w="0" w:type="auto"/>
            <w:hideMark/>
          </w:tcPr>
          <w:p w14:paraId="1396EF20"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0.973</w:t>
            </w:r>
          </w:p>
        </w:tc>
      </w:tr>
      <w:tr w:rsidR="00D547C2" w:rsidRPr="00515C6F" w14:paraId="68562879" w14:textId="77777777" w:rsidTr="00D54E0C">
        <w:trPr>
          <w:trHeight w:val="219"/>
          <w:jc w:val="center"/>
        </w:trPr>
        <w:tc>
          <w:tcPr>
            <w:tcW w:w="0" w:type="auto"/>
            <w:hideMark/>
          </w:tcPr>
          <w:p w14:paraId="2D8A7AF8" w14:textId="77777777" w:rsidR="00D547C2" w:rsidRPr="00515C6F" w:rsidRDefault="00D547C2" w:rsidP="00D547C2">
            <w:pPr>
              <w:rPr>
                <w:rFonts w:ascii="Times New Roman" w:hAnsi="Times New Roman" w:cs="Times New Roman"/>
                <w:sz w:val="18"/>
                <w:szCs w:val="18"/>
                <w:lang w:val="en-US"/>
              </w:rPr>
            </w:pPr>
            <w:r w:rsidRPr="00515C6F">
              <w:rPr>
                <w:rFonts w:ascii="Times New Roman" w:hAnsi="Times New Roman" w:cs="Times New Roman"/>
                <w:sz w:val="18"/>
                <w:szCs w:val="18"/>
                <w:lang w:val="en-US"/>
              </w:rPr>
              <w:t xml:space="preserve">End of combustion pressure, </w:t>
            </w:r>
            <w:proofErr w:type="spellStart"/>
            <w:r w:rsidRPr="00515C6F">
              <w:rPr>
                <w:rFonts w:ascii="Times New Roman" w:hAnsi="Times New Roman" w:cs="Times New Roman"/>
                <w:sz w:val="18"/>
                <w:szCs w:val="18"/>
                <w:lang w:val="en-US"/>
              </w:rPr>
              <w:t>Pz</w:t>
            </w:r>
            <w:proofErr w:type="spellEnd"/>
          </w:p>
        </w:tc>
        <w:tc>
          <w:tcPr>
            <w:tcW w:w="0" w:type="auto"/>
            <w:hideMark/>
          </w:tcPr>
          <w:p w14:paraId="349C3B09" w14:textId="77777777" w:rsidR="00D547C2" w:rsidRPr="00515C6F" w:rsidRDefault="00D547C2" w:rsidP="00D547C2">
            <w:pPr>
              <w:jc w:val="center"/>
              <w:rPr>
                <w:rFonts w:ascii="Times New Roman" w:hAnsi="Times New Roman" w:cs="Times New Roman"/>
                <w:sz w:val="18"/>
                <w:szCs w:val="18"/>
              </w:rPr>
            </w:pPr>
            <w:proofErr w:type="spellStart"/>
            <w:r w:rsidRPr="00515C6F">
              <w:rPr>
                <w:rFonts w:ascii="Times New Roman" w:hAnsi="Times New Roman" w:cs="Times New Roman"/>
                <w:sz w:val="18"/>
                <w:szCs w:val="18"/>
              </w:rPr>
              <w:t>MPa</w:t>
            </w:r>
            <w:proofErr w:type="spellEnd"/>
          </w:p>
        </w:tc>
        <w:tc>
          <w:tcPr>
            <w:tcW w:w="0" w:type="auto"/>
            <w:hideMark/>
          </w:tcPr>
          <w:p w14:paraId="689191EC"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8.59</w:t>
            </w:r>
          </w:p>
        </w:tc>
        <w:tc>
          <w:tcPr>
            <w:tcW w:w="0" w:type="auto"/>
            <w:hideMark/>
          </w:tcPr>
          <w:p w14:paraId="3397F9C7"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9.46</w:t>
            </w:r>
          </w:p>
        </w:tc>
      </w:tr>
      <w:tr w:rsidR="00D547C2" w:rsidRPr="00515C6F" w14:paraId="13B4F60F" w14:textId="77777777" w:rsidTr="00D54E0C">
        <w:trPr>
          <w:trHeight w:val="219"/>
          <w:jc w:val="center"/>
        </w:trPr>
        <w:tc>
          <w:tcPr>
            <w:tcW w:w="0" w:type="auto"/>
            <w:hideMark/>
          </w:tcPr>
          <w:p w14:paraId="4C5B9A59" w14:textId="77777777" w:rsidR="00D547C2" w:rsidRPr="00515C6F" w:rsidRDefault="00D547C2" w:rsidP="00D547C2">
            <w:pPr>
              <w:rPr>
                <w:rFonts w:ascii="Times New Roman" w:hAnsi="Times New Roman" w:cs="Times New Roman"/>
                <w:sz w:val="18"/>
                <w:szCs w:val="18"/>
                <w:lang w:val="en-US"/>
              </w:rPr>
            </w:pPr>
            <w:r w:rsidRPr="00515C6F">
              <w:rPr>
                <w:rFonts w:ascii="Times New Roman" w:hAnsi="Times New Roman" w:cs="Times New Roman"/>
                <w:sz w:val="18"/>
                <w:szCs w:val="18"/>
                <w:lang w:val="en-US"/>
              </w:rPr>
              <w:t>End of expansion pressure, Pb</w:t>
            </w:r>
          </w:p>
        </w:tc>
        <w:tc>
          <w:tcPr>
            <w:tcW w:w="0" w:type="auto"/>
            <w:hideMark/>
          </w:tcPr>
          <w:p w14:paraId="713D33DA" w14:textId="77777777" w:rsidR="00D547C2" w:rsidRPr="00515C6F" w:rsidRDefault="00D547C2" w:rsidP="00D547C2">
            <w:pPr>
              <w:jc w:val="center"/>
              <w:rPr>
                <w:rFonts w:ascii="Times New Roman" w:hAnsi="Times New Roman" w:cs="Times New Roman"/>
                <w:sz w:val="18"/>
                <w:szCs w:val="18"/>
              </w:rPr>
            </w:pPr>
            <w:proofErr w:type="spellStart"/>
            <w:r w:rsidRPr="00515C6F">
              <w:rPr>
                <w:rFonts w:ascii="Times New Roman" w:hAnsi="Times New Roman" w:cs="Times New Roman"/>
                <w:sz w:val="18"/>
                <w:szCs w:val="18"/>
              </w:rPr>
              <w:t>MPa</w:t>
            </w:r>
            <w:proofErr w:type="spellEnd"/>
          </w:p>
        </w:tc>
        <w:tc>
          <w:tcPr>
            <w:tcW w:w="0" w:type="auto"/>
            <w:hideMark/>
          </w:tcPr>
          <w:p w14:paraId="53FB2522"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0.478</w:t>
            </w:r>
          </w:p>
        </w:tc>
        <w:tc>
          <w:tcPr>
            <w:tcW w:w="0" w:type="auto"/>
            <w:hideMark/>
          </w:tcPr>
          <w:p w14:paraId="64CC7BC4"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0.528</w:t>
            </w:r>
          </w:p>
        </w:tc>
      </w:tr>
      <w:tr w:rsidR="00D547C2" w:rsidRPr="00515C6F" w14:paraId="5B6BBAB1" w14:textId="77777777" w:rsidTr="00D54E0C">
        <w:trPr>
          <w:trHeight w:val="219"/>
          <w:jc w:val="center"/>
        </w:trPr>
        <w:tc>
          <w:tcPr>
            <w:tcW w:w="0" w:type="auto"/>
            <w:hideMark/>
          </w:tcPr>
          <w:p w14:paraId="2050477C" w14:textId="77777777" w:rsidR="00D547C2" w:rsidRPr="00515C6F" w:rsidRDefault="00D547C2" w:rsidP="00D547C2">
            <w:pPr>
              <w:rPr>
                <w:rFonts w:ascii="Times New Roman" w:hAnsi="Times New Roman" w:cs="Times New Roman"/>
                <w:sz w:val="18"/>
                <w:szCs w:val="18"/>
              </w:rPr>
            </w:pPr>
            <w:proofErr w:type="spellStart"/>
            <w:r w:rsidRPr="00515C6F">
              <w:rPr>
                <w:rFonts w:ascii="Times New Roman" w:hAnsi="Times New Roman" w:cs="Times New Roman"/>
                <w:sz w:val="18"/>
                <w:szCs w:val="18"/>
              </w:rPr>
              <w:t>Specific</w:t>
            </w:r>
            <w:proofErr w:type="spellEnd"/>
            <w:r w:rsidRPr="00515C6F">
              <w:rPr>
                <w:rFonts w:ascii="Times New Roman" w:hAnsi="Times New Roman" w:cs="Times New Roman"/>
                <w:sz w:val="18"/>
                <w:szCs w:val="18"/>
              </w:rPr>
              <w:t xml:space="preserve"> </w:t>
            </w:r>
            <w:proofErr w:type="spellStart"/>
            <w:r w:rsidRPr="00515C6F">
              <w:rPr>
                <w:rFonts w:ascii="Times New Roman" w:hAnsi="Times New Roman" w:cs="Times New Roman"/>
                <w:sz w:val="18"/>
                <w:szCs w:val="18"/>
              </w:rPr>
              <w:t>fuel</w:t>
            </w:r>
            <w:proofErr w:type="spellEnd"/>
            <w:r w:rsidRPr="00515C6F">
              <w:rPr>
                <w:rFonts w:ascii="Times New Roman" w:hAnsi="Times New Roman" w:cs="Times New Roman"/>
                <w:sz w:val="18"/>
                <w:szCs w:val="18"/>
              </w:rPr>
              <w:t xml:space="preserve"> </w:t>
            </w:r>
            <w:proofErr w:type="spellStart"/>
            <w:r w:rsidRPr="00515C6F">
              <w:rPr>
                <w:rFonts w:ascii="Times New Roman" w:hAnsi="Times New Roman" w:cs="Times New Roman"/>
                <w:sz w:val="18"/>
                <w:szCs w:val="18"/>
              </w:rPr>
              <w:t>consumption</w:t>
            </w:r>
            <w:proofErr w:type="spellEnd"/>
            <w:r w:rsidRPr="00515C6F">
              <w:rPr>
                <w:rFonts w:ascii="Times New Roman" w:hAnsi="Times New Roman" w:cs="Times New Roman"/>
                <w:sz w:val="18"/>
                <w:szCs w:val="18"/>
              </w:rPr>
              <w:t>, gₑ</w:t>
            </w:r>
          </w:p>
        </w:tc>
        <w:tc>
          <w:tcPr>
            <w:tcW w:w="0" w:type="auto"/>
            <w:hideMark/>
          </w:tcPr>
          <w:p w14:paraId="42D33611"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g/</w:t>
            </w:r>
            <w:proofErr w:type="spellStart"/>
            <w:r w:rsidRPr="00515C6F">
              <w:rPr>
                <w:rFonts w:ascii="Times New Roman" w:hAnsi="Times New Roman" w:cs="Times New Roman"/>
                <w:sz w:val="18"/>
                <w:szCs w:val="18"/>
              </w:rPr>
              <w:t>kWh</w:t>
            </w:r>
            <w:proofErr w:type="spellEnd"/>
          </w:p>
        </w:tc>
        <w:tc>
          <w:tcPr>
            <w:tcW w:w="0" w:type="auto"/>
            <w:hideMark/>
          </w:tcPr>
          <w:p w14:paraId="3BCDF1BC"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310.8</w:t>
            </w:r>
          </w:p>
        </w:tc>
        <w:tc>
          <w:tcPr>
            <w:tcW w:w="0" w:type="auto"/>
            <w:hideMark/>
          </w:tcPr>
          <w:p w14:paraId="66BF7EAE"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271.6</w:t>
            </w:r>
          </w:p>
        </w:tc>
      </w:tr>
      <w:tr w:rsidR="00D547C2" w:rsidRPr="00515C6F" w14:paraId="7022EC7E" w14:textId="77777777" w:rsidTr="00D54E0C">
        <w:trPr>
          <w:trHeight w:val="219"/>
          <w:jc w:val="center"/>
        </w:trPr>
        <w:tc>
          <w:tcPr>
            <w:tcW w:w="0" w:type="auto"/>
            <w:hideMark/>
          </w:tcPr>
          <w:p w14:paraId="4EE5FE34" w14:textId="77777777" w:rsidR="00D547C2" w:rsidRPr="00515C6F" w:rsidRDefault="00D547C2" w:rsidP="00D547C2">
            <w:pPr>
              <w:rPr>
                <w:rFonts w:ascii="Times New Roman" w:hAnsi="Times New Roman" w:cs="Times New Roman"/>
                <w:sz w:val="18"/>
                <w:szCs w:val="18"/>
              </w:rPr>
            </w:pPr>
            <w:proofErr w:type="spellStart"/>
            <w:r w:rsidRPr="00515C6F">
              <w:rPr>
                <w:rFonts w:ascii="Times New Roman" w:hAnsi="Times New Roman" w:cs="Times New Roman"/>
                <w:sz w:val="18"/>
                <w:szCs w:val="18"/>
              </w:rPr>
              <w:t>Hourly</w:t>
            </w:r>
            <w:proofErr w:type="spellEnd"/>
            <w:r w:rsidRPr="00515C6F">
              <w:rPr>
                <w:rFonts w:ascii="Times New Roman" w:hAnsi="Times New Roman" w:cs="Times New Roman"/>
                <w:sz w:val="18"/>
                <w:szCs w:val="18"/>
              </w:rPr>
              <w:t xml:space="preserve"> </w:t>
            </w:r>
            <w:proofErr w:type="spellStart"/>
            <w:r w:rsidRPr="00515C6F">
              <w:rPr>
                <w:rFonts w:ascii="Times New Roman" w:hAnsi="Times New Roman" w:cs="Times New Roman"/>
                <w:sz w:val="18"/>
                <w:szCs w:val="18"/>
              </w:rPr>
              <w:t>fuel</w:t>
            </w:r>
            <w:proofErr w:type="spellEnd"/>
            <w:r w:rsidRPr="00515C6F">
              <w:rPr>
                <w:rFonts w:ascii="Times New Roman" w:hAnsi="Times New Roman" w:cs="Times New Roman"/>
                <w:sz w:val="18"/>
                <w:szCs w:val="18"/>
              </w:rPr>
              <w:t xml:space="preserve"> </w:t>
            </w:r>
            <w:proofErr w:type="spellStart"/>
            <w:r w:rsidRPr="00515C6F">
              <w:rPr>
                <w:rFonts w:ascii="Times New Roman" w:hAnsi="Times New Roman" w:cs="Times New Roman"/>
                <w:sz w:val="18"/>
                <w:szCs w:val="18"/>
              </w:rPr>
              <w:t>consumption</w:t>
            </w:r>
            <w:proofErr w:type="spellEnd"/>
            <w:r w:rsidRPr="00515C6F">
              <w:rPr>
                <w:rFonts w:ascii="Times New Roman" w:hAnsi="Times New Roman" w:cs="Times New Roman"/>
                <w:sz w:val="18"/>
                <w:szCs w:val="18"/>
              </w:rPr>
              <w:t>, Gₕ</w:t>
            </w:r>
          </w:p>
        </w:tc>
        <w:tc>
          <w:tcPr>
            <w:tcW w:w="0" w:type="auto"/>
            <w:hideMark/>
          </w:tcPr>
          <w:p w14:paraId="6855EBED" w14:textId="77777777" w:rsidR="00D547C2" w:rsidRPr="00515C6F" w:rsidRDefault="00D547C2" w:rsidP="00D547C2">
            <w:pPr>
              <w:jc w:val="center"/>
              <w:rPr>
                <w:rFonts w:ascii="Times New Roman" w:hAnsi="Times New Roman" w:cs="Times New Roman"/>
                <w:sz w:val="18"/>
                <w:szCs w:val="18"/>
              </w:rPr>
            </w:pPr>
            <w:proofErr w:type="spellStart"/>
            <w:r w:rsidRPr="00515C6F">
              <w:rPr>
                <w:rFonts w:ascii="Times New Roman" w:hAnsi="Times New Roman" w:cs="Times New Roman"/>
                <w:sz w:val="18"/>
                <w:szCs w:val="18"/>
              </w:rPr>
              <w:t>kg</w:t>
            </w:r>
            <w:proofErr w:type="spellEnd"/>
            <w:r w:rsidRPr="00515C6F">
              <w:rPr>
                <w:rFonts w:ascii="Times New Roman" w:hAnsi="Times New Roman" w:cs="Times New Roman"/>
                <w:sz w:val="18"/>
                <w:szCs w:val="18"/>
              </w:rPr>
              <w:t>/h</w:t>
            </w:r>
          </w:p>
        </w:tc>
        <w:tc>
          <w:tcPr>
            <w:tcW w:w="0" w:type="auto"/>
            <w:hideMark/>
          </w:tcPr>
          <w:p w14:paraId="4348D789"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24.24</w:t>
            </w:r>
          </w:p>
        </w:tc>
        <w:tc>
          <w:tcPr>
            <w:tcW w:w="0" w:type="auto"/>
            <w:hideMark/>
          </w:tcPr>
          <w:p w14:paraId="5C8186F2"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21.18</w:t>
            </w:r>
          </w:p>
        </w:tc>
      </w:tr>
      <w:tr w:rsidR="00D547C2" w:rsidRPr="00515C6F" w14:paraId="533ED8FF" w14:textId="77777777" w:rsidTr="00D54E0C">
        <w:trPr>
          <w:trHeight w:val="231"/>
          <w:jc w:val="center"/>
        </w:trPr>
        <w:tc>
          <w:tcPr>
            <w:tcW w:w="0" w:type="auto"/>
            <w:tcBorders>
              <w:bottom w:val="single" w:sz="12" w:space="0" w:color="auto"/>
            </w:tcBorders>
            <w:hideMark/>
          </w:tcPr>
          <w:p w14:paraId="06D7A446" w14:textId="77777777" w:rsidR="00D547C2" w:rsidRPr="00515C6F" w:rsidRDefault="00D547C2" w:rsidP="00D547C2">
            <w:pPr>
              <w:rPr>
                <w:rFonts w:ascii="Times New Roman" w:hAnsi="Times New Roman" w:cs="Times New Roman"/>
                <w:sz w:val="18"/>
                <w:szCs w:val="18"/>
                <w:lang w:val="en-US"/>
              </w:rPr>
            </w:pPr>
            <w:r w:rsidRPr="00515C6F">
              <w:rPr>
                <w:rFonts w:ascii="Times New Roman" w:hAnsi="Times New Roman" w:cs="Times New Roman"/>
                <w:sz w:val="18"/>
                <w:szCs w:val="18"/>
                <w:lang w:val="en-US"/>
              </w:rPr>
              <w:t>Indicator specific fuel consumption, g</w:t>
            </w:r>
            <w:r w:rsidRPr="00515C6F">
              <w:rPr>
                <w:rFonts w:ascii="Times New Roman" w:hAnsi="Times New Roman" w:cs="Times New Roman"/>
                <w:sz w:val="18"/>
                <w:szCs w:val="18"/>
              </w:rPr>
              <w:t>ᵢ</w:t>
            </w:r>
          </w:p>
        </w:tc>
        <w:tc>
          <w:tcPr>
            <w:tcW w:w="0" w:type="auto"/>
            <w:tcBorders>
              <w:bottom w:val="single" w:sz="12" w:space="0" w:color="auto"/>
            </w:tcBorders>
            <w:hideMark/>
          </w:tcPr>
          <w:p w14:paraId="19C5C6B5"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g/</w:t>
            </w:r>
            <w:proofErr w:type="spellStart"/>
            <w:r w:rsidRPr="00515C6F">
              <w:rPr>
                <w:rFonts w:ascii="Times New Roman" w:hAnsi="Times New Roman" w:cs="Times New Roman"/>
                <w:sz w:val="18"/>
                <w:szCs w:val="18"/>
              </w:rPr>
              <w:t>kWh</w:t>
            </w:r>
            <w:proofErr w:type="spellEnd"/>
          </w:p>
        </w:tc>
        <w:tc>
          <w:tcPr>
            <w:tcW w:w="0" w:type="auto"/>
            <w:tcBorders>
              <w:bottom w:val="single" w:sz="12" w:space="0" w:color="auto"/>
            </w:tcBorders>
            <w:hideMark/>
          </w:tcPr>
          <w:p w14:paraId="5364C6D9"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238.0</w:t>
            </w:r>
          </w:p>
        </w:tc>
        <w:tc>
          <w:tcPr>
            <w:tcW w:w="0" w:type="auto"/>
            <w:tcBorders>
              <w:bottom w:val="single" w:sz="12" w:space="0" w:color="auto"/>
            </w:tcBorders>
            <w:hideMark/>
          </w:tcPr>
          <w:p w14:paraId="5C2D5C68" w14:textId="77777777" w:rsidR="00D547C2" w:rsidRPr="00515C6F" w:rsidRDefault="00D547C2" w:rsidP="00D547C2">
            <w:pPr>
              <w:jc w:val="center"/>
              <w:rPr>
                <w:rFonts w:ascii="Times New Roman" w:hAnsi="Times New Roman" w:cs="Times New Roman"/>
                <w:sz w:val="18"/>
                <w:szCs w:val="18"/>
              </w:rPr>
            </w:pPr>
            <w:r w:rsidRPr="00515C6F">
              <w:rPr>
                <w:rFonts w:ascii="Times New Roman" w:hAnsi="Times New Roman" w:cs="Times New Roman"/>
                <w:sz w:val="18"/>
                <w:szCs w:val="18"/>
              </w:rPr>
              <w:t>215.7</w:t>
            </w:r>
          </w:p>
        </w:tc>
      </w:tr>
    </w:tbl>
    <w:p w14:paraId="2D1798F6" w14:textId="77777777" w:rsidR="00D547C2" w:rsidRPr="00D547C2" w:rsidRDefault="00D547C2" w:rsidP="00515C6F">
      <w:pPr>
        <w:spacing w:before="120"/>
        <w:ind w:firstLine="284"/>
        <w:jc w:val="both"/>
        <w:rPr>
          <w:lang w:val="en-US"/>
        </w:rPr>
      </w:pPr>
      <w:r w:rsidRPr="00D547C2">
        <w:rPr>
          <w:lang w:val="en-US"/>
        </w:rPr>
        <w:t xml:space="preserve">The data indicate a reduction in </w:t>
      </w:r>
      <w:r w:rsidRPr="00A64AED">
        <w:rPr>
          <w:lang w:val="en-US"/>
        </w:rPr>
        <w:t>CO₂</w:t>
      </w:r>
      <w:r w:rsidRPr="00D547C2">
        <w:rPr>
          <w:lang w:val="en-US"/>
        </w:rPr>
        <w:t xml:space="preserve"> emissions (from 0.064 to 0.061 </w:t>
      </w:r>
      <w:proofErr w:type="spellStart"/>
      <w:r w:rsidRPr="00D547C2">
        <w:rPr>
          <w:lang w:val="en-US"/>
        </w:rPr>
        <w:t>kmol</w:t>
      </w:r>
      <w:proofErr w:type="spellEnd"/>
      <w:r w:rsidRPr="00D547C2">
        <w:rPr>
          <w:lang w:val="en-US"/>
        </w:rPr>
        <w:t>/kg) and an increase in the theoretical air requirement due to leaner and more complete combustion with hydrogen. The degree of pressure rise increased from 3.438 to 3.79, reflecting improved combustion energy output.</w:t>
      </w:r>
    </w:p>
    <w:p w14:paraId="7D53E589" w14:textId="77777777" w:rsidR="00D547C2" w:rsidRPr="00D547C2" w:rsidRDefault="00D547C2" w:rsidP="00515C6F">
      <w:pPr>
        <w:ind w:firstLine="284"/>
        <w:jc w:val="both"/>
        <w:rPr>
          <w:lang w:val="en-US"/>
        </w:rPr>
      </w:pPr>
      <w:r w:rsidRPr="00D547C2">
        <w:rPr>
          <w:lang w:val="en-US"/>
        </w:rPr>
        <w:t>Specific fuel consumption decreased from 310.8 to 271.6 g/kWh, and hourly fuel consumption dropped by approximately 12.6% (from 24.24 kg/h to 21.18 kg/h). Indicator-specific fuel consumption also improved significantly.</w:t>
      </w:r>
    </w:p>
    <w:p w14:paraId="1699C69D" w14:textId="77777777" w:rsidR="00D547C2" w:rsidRPr="00D547C2" w:rsidRDefault="00D547C2" w:rsidP="00515C6F">
      <w:pPr>
        <w:ind w:firstLine="284"/>
        <w:jc w:val="both"/>
        <w:rPr>
          <w:lang w:val="en-US"/>
        </w:rPr>
      </w:pPr>
      <w:r w:rsidRPr="00D547C2">
        <w:rPr>
          <w:lang w:val="en-US"/>
        </w:rPr>
        <w:t>The increase in end-of-combustion pressure (from 8.59 MPa to 9.46 MPa) and end-of-expansion pressure (from 0.478 MPa to 0.528 MPa) further confirms enhanced thermodynamic performance under hydrogen enrichment.</w:t>
      </w:r>
    </w:p>
    <w:p w14:paraId="4772CF42" w14:textId="002D060A" w:rsidR="00D547C2" w:rsidRPr="00D547C2" w:rsidRDefault="00D547C2" w:rsidP="00515C6F">
      <w:pPr>
        <w:ind w:firstLine="284"/>
        <w:jc w:val="both"/>
        <w:rPr>
          <w:lang w:val="en-US"/>
        </w:rPr>
      </w:pPr>
      <w:r w:rsidRPr="00D547C2">
        <w:rPr>
          <w:lang w:val="en-US"/>
        </w:rPr>
        <w:t>Additionally, the exothermic reaction of hydrogen and oxygen:</w:t>
      </w:r>
      <w:r w:rsidRPr="00D547C2">
        <w:t xml:space="preserve"> </w:t>
      </w:r>
      <w:r w:rsidRPr="00A64AED">
        <w:rPr>
          <w:rStyle w:val="mord"/>
        </w:rPr>
        <w:t>H</w:t>
      </w:r>
      <w:r w:rsidRPr="00A64AED">
        <w:rPr>
          <w:rStyle w:val="mord"/>
          <w:vertAlign w:val="subscript"/>
        </w:rPr>
        <w:t>2</w:t>
      </w:r>
      <w:r w:rsidRPr="00A64AED">
        <w:rPr>
          <w:rStyle w:val="mbin"/>
        </w:rPr>
        <w:t>+</w:t>
      </w:r>
      <w:r w:rsidRPr="00A64AED">
        <w:rPr>
          <w:rStyle w:val="mord"/>
        </w:rPr>
        <w:t>0.5∙O</w:t>
      </w:r>
      <w:r w:rsidRPr="00A64AED">
        <w:rPr>
          <w:rStyle w:val="mord"/>
          <w:vertAlign w:val="subscript"/>
        </w:rPr>
        <w:t>2</w:t>
      </w:r>
      <w:r w:rsidRPr="00A64AED">
        <w:rPr>
          <w:rStyle w:val="mrel"/>
        </w:rPr>
        <w:t>→</w:t>
      </w:r>
      <w:r w:rsidRPr="00A64AED">
        <w:rPr>
          <w:rStyle w:val="mord"/>
        </w:rPr>
        <w:t>H</w:t>
      </w:r>
      <w:r w:rsidRPr="00A64AED">
        <w:rPr>
          <w:rStyle w:val="mord"/>
          <w:vertAlign w:val="subscript"/>
        </w:rPr>
        <w:t>2</w:t>
      </w:r>
      <w:r w:rsidRPr="00A64AED">
        <w:rPr>
          <w:rStyle w:val="mord"/>
        </w:rPr>
        <w:t>O</w:t>
      </w:r>
      <w:r w:rsidRPr="00A64AED">
        <w:rPr>
          <w:rStyle w:val="mbin"/>
        </w:rPr>
        <w:t>+</w:t>
      </w:r>
      <w:r w:rsidRPr="00A64AED">
        <w:rPr>
          <w:rStyle w:val="mord"/>
        </w:rPr>
        <w:t>285.8</w:t>
      </w:r>
      <w:r w:rsidRPr="00A64AED">
        <w:rPr>
          <w:rStyle w:val="mspace"/>
        </w:rPr>
        <w:t> </w:t>
      </w:r>
      <w:r w:rsidRPr="00A64AED">
        <w:rPr>
          <w:rStyle w:val="mord"/>
        </w:rPr>
        <w:t>kJ/mol</w:t>
      </w:r>
      <w:r>
        <w:rPr>
          <w:rStyle w:val="mord"/>
        </w:rPr>
        <w:t xml:space="preserve"> </w:t>
      </w:r>
      <w:r w:rsidRPr="00D547C2">
        <w:rPr>
          <w:lang w:val="en-US"/>
        </w:rPr>
        <w:t>demonstrates hydrogen’s high energy yield, which contributes to these improved performance indicators [</w:t>
      </w:r>
      <w:r w:rsidR="00CA1C78">
        <w:rPr>
          <w:lang w:val="en-US"/>
        </w:rPr>
        <w:t>20</w:t>
      </w:r>
      <w:r w:rsidRPr="00D547C2">
        <w:rPr>
          <w:lang w:val="en-US"/>
        </w:rPr>
        <w:t>].</w:t>
      </w:r>
    </w:p>
    <w:p w14:paraId="3BC2D307" w14:textId="21AD0CC3" w:rsidR="0059467F" w:rsidRPr="0042530D" w:rsidRDefault="00515C6F" w:rsidP="00515C6F">
      <w:pPr>
        <w:keepNext/>
        <w:keepLines/>
        <w:tabs>
          <w:tab w:val="left" w:pos="454"/>
        </w:tabs>
        <w:spacing w:before="240" w:after="240"/>
        <w:jc w:val="center"/>
      </w:pPr>
      <w:r>
        <w:rPr>
          <w:rFonts w:eastAsia="Times"/>
          <w:b/>
          <w:sz w:val="24"/>
          <w:szCs w:val="24"/>
        </w:rPr>
        <w:t>DISCUSSION</w:t>
      </w:r>
    </w:p>
    <w:p w14:paraId="07C8B6BC" w14:textId="71A734F1" w:rsidR="00D6576B" w:rsidRPr="00D6576B" w:rsidRDefault="00D6576B" w:rsidP="00515C6F">
      <w:pPr>
        <w:ind w:firstLine="284"/>
        <w:jc w:val="both"/>
        <w:rPr>
          <w:lang w:val="en-US"/>
        </w:rPr>
      </w:pPr>
      <w:r w:rsidRPr="00D6576B">
        <w:rPr>
          <w:lang w:val="en-US"/>
        </w:rPr>
        <w:t>The experimental results clearly demonstrate that enriching gasoline with 3–8% hydrogen improves both the thermodynamic and operational performance of internal combustion engines.</w:t>
      </w:r>
    </w:p>
    <w:p w14:paraId="3A16F0BC" w14:textId="3D025351" w:rsidR="00D6576B" w:rsidRPr="00D6576B" w:rsidRDefault="00D6576B" w:rsidP="00515C6F">
      <w:pPr>
        <w:ind w:firstLine="284"/>
        <w:jc w:val="both"/>
        <w:rPr>
          <w:lang w:val="en-US"/>
        </w:rPr>
      </w:pPr>
      <w:r w:rsidRPr="00D6576B">
        <w:rPr>
          <w:lang w:val="en-US"/>
        </w:rPr>
        <w:t>First, the improved combustion efficiency is evident through increased end-of-cycle pressures and reduced fuel consumption. This is due to hydrogen's high flame speed and wide ignition limits, which promote more complete combustion [</w:t>
      </w:r>
      <w:r w:rsidR="00EB31EB">
        <w:rPr>
          <w:lang w:val="en-US"/>
        </w:rPr>
        <w:t>2</w:t>
      </w:r>
      <w:r w:rsidR="00CA1C78">
        <w:rPr>
          <w:lang w:val="en-US"/>
        </w:rPr>
        <w:t>1</w:t>
      </w:r>
      <w:r w:rsidRPr="00D6576B">
        <w:rPr>
          <w:lang w:val="en-US"/>
        </w:rPr>
        <w:t>]. The increase in theoretical air requirement and molar product ratios suggests cleaner oxidation reactions and reduced formation of carbon-based emissions.</w:t>
      </w:r>
    </w:p>
    <w:p w14:paraId="1D1E3D1B" w14:textId="6D68993B" w:rsidR="00D6576B" w:rsidRPr="00D6576B" w:rsidRDefault="00D6576B" w:rsidP="00515C6F">
      <w:pPr>
        <w:ind w:firstLine="284"/>
        <w:jc w:val="both"/>
        <w:rPr>
          <w:lang w:val="en-US"/>
        </w:rPr>
      </w:pPr>
      <w:r w:rsidRPr="00D6576B">
        <w:rPr>
          <w:lang w:val="en-US"/>
        </w:rPr>
        <w:t>Second, a 20% reduction in specific fuel consumption represents not only economic benefits but also reduced environmental impact. The drop in CO₂ emissions and the increase in pressure values directly reflect the energy efficiency gains, aligning with findings in previous hydrogen-addition studies [</w:t>
      </w:r>
      <w:r w:rsidR="00EB31EB">
        <w:rPr>
          <w:lang w:val="en-US"/>
        </w:rPr>
        <w:t>22</w:t>
      </w:r>
      <w:r w:rsidRPr="00D6576B">
        <w:rPr>
          <w:lang w:val="en-US"/>
        </w:rPr>
        <w:t>].</w:t>
      </w:r>
    </w:p>
    <w:p w14:paraId="2C1B025C" w14:textId="77777777" w:rsidR="00D6576B" w:rsidRPr="00D6576B" w:rsidRDefault="00D6576B" w:rsidP="00515C6F">
      <w:pPr>
        <w:ind w:firstLine="284"/>
        <w:jc w:val="both"/>
        <w:rPr>
          <w:lang w:val="en-US"/>
        </w:rPr>
      </w:pPr>
      <w:r w:rsidRPr="00D6576B">
        <w:rPr>
          <w:lang w:val="en-US"/>
        </w:rPr>
        <w:t>However, the slight decrease in the filling factor (from 0.983 to 0.973) may be attributed to hydrogen’s lower energy density per volume compared to gasoline, which requires more intake volume for the same energy output. This effect was negligible in overall efficiency.</w:t>
      </w:r>
    </w:p>
    <w:p w14:paraId="6F7C945D" w14:textId="2406990A" w:rsidR="00C147DF" w:rsidRDefault="00C147DF" w:rsidP="00515C6F">
      <w:pPr>
        <w:ind w:firstLine="284"/>
        <w:jc w:val="both"/>
        <w:rPr>
          <w:lang w:val="en-US"/>
        </w:rPr>
      </w:pPr>
      <w:r w:rsidRPr="00C147DF">
        <w:rPr>
          <w:lang w:val="en-US"/>
        </w:rPr>
        <w:t>While these improvements are promising, some limitations should be addressed. The combustion temperature increase can lead to higher NOₓ formation unless appropriate countermeasures such as EGR (Exhaust Gas Recirculation) or lean-burn strategies are used [</w:t>
      </w:r>
      <w:r w:rsidR="00EB31EB">
        <w:rPr>
          <w:lang w:val="en-US"/>
        </w:rPr>
        <w:t>23</w:t>
      </w:r>
      <w:r w:rsidRPr="00C147DF">
        <w:rPr>
          <w:lang w:val="en-US"/>
        </w:rPr>
        <w:t>]. Additionally, the infrastructure for hydrogen production, storage, and delivery still poses barriers for large‑scale deployment.</w:t>
      </w:r>
    </w:p>
    <w:p w14:paraId="5EFCFAE6" w14:textId="0B37B1E3" w:rsidR="007B4D5A" w:rsidRDefault="00D6576B" w:rsidP="00515C6F">
      <w:pPr>
        <w:ind w:firstLine="284"/>
        <w:jc w:val="both"/>
        <w:rPr>
          <w:lang w:val="en-US"/>
        </w:rPr>
      </w:pPr>
      <w:r w:rsidRPr="00D6576B">
        <w:rPr>
          <w:lang w:val="en-US"/>
        </w:rPr>
        <w:t>Nonetheless, the ability to implement hydrogen as a minor additive (3–8%) without engine redesign makes it an attractive transitional technology, particularly in countries with large gasoline fleets and limited access to full hydrogen fuel systems.</w:t>
      </w:r>
    </w:p>
    <w:p w14:paraId="6FB74C13" w14:textId="18AFBE15" w:rsidR="00A06009" w:rsidRDefault="00515C6F" w:rsidP="00515C6F">
      <w:pPr>
        <w:spacing w:before="240" w:after="240"/>
        <w:jc w:val="center"/>
        <w:rPr>
          <w:rFonts w:eastAsia="Times"/>
          <w:b/>
          <w:sz w:val="24"/>
          <w:szCs w:val="24"/>
        </w:rPr>
      </w:pPr>
      <w:r>
        <w:rPr>
          <w:rFonts w:eastAsia="Times"/>
          <w:b/>
          <w:sz w:val="24"/>
          <w:szCs w:val="24"/>
        </w:rPr>
        <w:t>CONCLUSION</w:t>
      </w:r>
    </w:p>
    <w:p w14:paraId="75069B67" w14:textId="6748D243" w:rsidR="007B4D5A" w:rsidRPr="00D6576B" w:rsidRDefault="00D6576B" w:rsidP="00515C6F">
      <w:pPr>
        <w:ind w:firstLine="284"/>
        <w:jc w:val="both"/>
        <w:rPr>
          <w:lang w:val="en-US"/>
        </w:rPr>
      </w:pPr>
      <w:r w:rsidRPr="00D6576B">
        <w:rPr>
          <w:lang w:val="en-US"/>
        </w:rPr>
        <w:t>Operational tests have shown that the fuel consumption for a Cobalt passenger vehicle using conventional gasoline is 7.2 liters per 100 km, while with the addition of hydrogen to gasoline, the consumption decreases to 5.7 liters per 100 km. This represents a fuel economy of up to 20%</w:t>
      </w:r>
      <w:r w:rsidR="007B4D5A">
        <w:rPr>
          <w:lang w:val="en-US"/>
        </w:rPr>
        <w:t>z</w:t>
      </w:r>
    </w:p>
    <w:p w14:paraId="1EEF021C" w14:textId="77777777" w:rsidR="00D6576B" w:rsidRPr="00D6576B" w:rsidRDefault="00D6576B" w:rsidP="00515C6F">
      <w:pPr>
        <w:ind w:firstLine="284"/>
        <w:jc w:val="both"/>
        <w:rPr>
          <w:lang w:val="en-US"/>
        </w:rPr>
      </w:pPr>
      <w:r w:rsidRPr="00D6576B">
        <w:rPr>
          <w:lang w:val="en-US"/>
        </w:rPr>
        <w:t>The conducted scientific and practical research confirms the possibility of using hydrogen as a 3–8% additive to gasoline and diesel fuels in internal combustion engines. Hydrogen addition improves the combustion process, increases engine efficiency, and significantly reduces harmful substances in exhaust emissions.</w:t>
      </w:r>
    </w:p>
    <w:p w14:paraId="5230C124" w14:textId="77777777" w:rsidR="00D6576B" w:rsidRPr="00D6576B" w:rsidRDefault="00D6576B" w:rsidP="00515C6F">
      <w:pPr>
        <w:ind w:firstLine="284"/>
        <w:jc w:val="both"/>
        <w:rPr>
          <w:lang w:val="en-US"/>
        </w:rPr>
      </w:pPr>
      <w:r w:rsidRPr="00D6576B">
        <w:rPr>
          <w:lang w:val="en-US"/>
        </w:rPr>
        <w:t>If automobile manufacturing plants switch to the use of hydrogen addition to fuel in the future, the country will gain substantial economic and environmental benefits. Hydrogen, as a clean and efficient energy carrier, helps reduce both fuel consumption and toxic emissions, providing a promising pathway toward sustainable transport development.</w:t>
      </w:r>
    </w:p>
    <w:p w14:paraId="197D82E6" w14:textId="0449F2A1" w:rsidR="00B17912" w:rsidRPr="00D6576B" w:rsidRDefault="006868F7" w:rsidP="00515C6F">
      <w:pPr>
        <w:spacing w:before="120"/>
        <w:ind w:firstLine="284"/>
        <w:jc w:val="both"/>
        <w:rPr>
          <w:lang w:val="en-US"/>
        </w:rPr>
      </w:pPr>
      <w:r>
        <w:rPr>
          <w:b/>
          <w:color w:val="auto"/>
        </w:rPr>
        <w:t xml:space="preserve">Acknowledgements. </w:t>
      </w:r>
      <w:r w:rsidRPr="006868F7">
        <w:rPr>
          <w:lang w:val="en-US"/>
        </w:rPr>
        <w:t>The authors express their gratitude to the Ministry of Transport of the Republic of Uzbekistan and Tashkent State Transport University for their support and provision of research facilities. The authors also thank the Transportation Research Center LLC for valuable consultation and data access during the study.</w:t>
      </w:r>
    </w:p>
    <w:p w14:paraId="7F137297" w14:textId="5E3E5E83" w:rsidR="00274BE6" w:rsidRDefault="00515C6F" w:rsidP="00515C6F">
      <w:pPr>
        <w:tabs>
          <w:tab w:val="left" w:pos="1361"/>
          <w:tab w:val="left" w:pos="1531"/>
          <w:tab w:val="left" w:pos="1701"/>
          <w:tab w:val="left" w:pos="1871"/>
          <w:tab w:val="left" w:pos="2041"/>
          <w:tab w:val="left" w:pos="2211"/>
          <w:tab w:val="left" w:pos="2381"/>
          <w:tab w:val="left" w:pos="2552"/>
        </w:tabs>
        <w:spacing w:before="240" w:after="240"/>
        <w:jc w:val="center"/>
        <w:rPr>
          <w:rFonts w:eastAsia="Times"/>
          <w:b/>
          <w:sz w:val="24"/>
          <w:szCs w:val="24"/>
        </w:rPr>
      </w:pPr>
      <w:r w:rsidRPr="0042530D">
        <w:rPr>
          <w:rFonts w:eastAsia="Times"/>
          <w:b/>
          <w:sz w:val="24"/>
          <w:szCs w:val="24"/>
        </w:rPr>
        <w:lastRenderedPageBreak/>
        <w:t>REFERENCES</w:t>
      </w:r>
    </w:p>
    <w:p w14:paraId="0E596CC0" w14:textId="77777777" w:rsidR="00850325" w:rsidRPr="000B71A9" w:rsidRDefault="00850325" w:rsidP="00850325">
      <w:pPr>
        <w:pStyle w:val="ab"/>
        <w:numPr>
          <w:ilvl w:val="0"/>
          <w:numId w:val="6"/>
        </w:numPr>
        <w:spacing w:before="0" w:beforeAutospacing="0" w:after="0" w:afterAutospacing="0"/>
        <w:ind w:left="425" w:hanging="425"/>
        <w:jc w:val="both"/>
        <w:rPr>
          <w:sz w:val="20"/>
          <w:szCs w:val="20"/>
          <w:lang w:val="en-US"/>
        </w:rPr>
      </w:pPr>
      <w:r w:rsidRPr="000B71A9">
        <w:rPr>
          <w:sz w:val="20"/>
          <w:szCs w:val="20"/>
          <w:lang w:val="en-US"/>
        </w:rPr>
        <w:t xml:space="preserve">L. M. Das and R. Gulati, “Hydrogen as a spark ignition engine fuel,” </w:t>
      </w:r>
      <w:r w:rsidRPr="000B71A9">
        <w:rPr>
          <w:rStyle w:val="ad"/>
          <w:sz w:val="20"/>
          <w:szCs w:val="20"/>
          <w:lang w:val="en-US"/>
        </w:rPr>
        <w:t>Int. J. Hydrogen Energy</w:t>
      </w:r>
      <w:r w:rsidRPr="000B71A9">
        <w:rPr>
          <w:sz w:val="20"/>
          <w:szCs w:val="20"/>
          <w:lang w:val="en-US"/>
        </w:rPr>
        <w:t xml:space="preserve"> </w:t>
      </w:r>
      <w:r w:rsidRPr="000B71A9">
        <w:rPr>
          <w:rStyle w:val="ae"/>
          <w:sz w:val="20"/>
          <w:szCs w:val="20"/>
          <w:lang w:val="en-US"/>
        </w:rPr>
        <w:t>26</w:t>
      </w:r>
      <w:r w:rsidRPr="000B71A9">
        <w:rPr>
          <w:sz w:val="20"/>
          <w:szCs w:val="20"/>
          <w:lang w:val="en-US"/>
        </w:rPr>
        <w:t xml:space="preserve">(9), 973–977 (2001), </w:t>
      </w:r>
      <w:hyperlink r:id="rId10" w:tgtFrame="_new" w:history="1">
        <w:r w:rsidRPr="000B71A9">
          <w:rPr>
            <w:rStyle w:val="a7"/>
            <w:sz w:val="20"/>
            <w:szCs w:val="20"/>
            <w:lang w:val="en-US"/>
          </w:rPr>
          <w:t>https://doi.org/10.1016/S0360-3199(01)00028-8</w:t>
        </w:r>
      </w:hyperlink>
      <w:r w:rsidRPr="000B71A9">
        <w:rPr>
          <w:sz w:val="20"/>
          <w:szCs w:val="20"/>
          <w:lang w:val="en-US"/>
        </w:rPr>
        <w:t>.</w:t>
      </w:r>
    </w:p>
    <w:p w14:paraId="7806E333" w14:textId="77777777" w:rsidR="00850325" w:rsidRPr="000B71A9" w:rsidRDefault="00850325" w:rsidP="00850325">
      <w:pPr>
        <w:pStyle w:val="ab"/>
        <w:numPr>
          <w:ilvl w:val="0"/>
          <w:numId w:val="6"/>
        </w:numPr>
        <w:spacing w:before="0" w:beforeAutospacing="0" w:after="0" w:afterAutospacing="0"/>
        <w:ind w:left="425" w:hanging="425"/>
        <w:jc w:val="both"/>
        <w:rPr>
          <w:sz w:val="20"/>
          <w:szCs w:val="20"/>
          <w:lang w:val="en-US"/>
        </w:rPr>
      </w:pPr>
      <w:r w:rsidRPr="000B71A9">
        <w:rPr>
          <w:sz w:val="20"/>
          <w:szCs w:val="20"/>
          <w:lang w:val="en-US"/>
        </w:rPr>
        <w:t xml:space="preserve">Y. </w:t>
      </w:r>
      <w:proofErr w:type="spellStart"/>
      <w:r w:rsidRPr="000B71A9">
        <w:rPr>
          <w:sz w:val="20"/>
          <w:szCs w:val="20"/>
          <w:lang w:val="en-US"/>
        </w:rPr>
        <w:t>Karagoz</w:t>
      </w:r>
      <w:proofErr w:type="spellEnd"/>
      <w:r w:rsidRPr="000B71A9">
        <w:rPr>
          <w:sz w:val="20"/>
          <w:szCs w:val="20"/>
          <w:lang w:val="en-US"/>
        </w:rPr>
        <w:t xml:space="preserve"> and N. Yilmaz, “Comparative analysis of hydrogen, methane, and LPG as fuel in a spark-ignition engine,” </w:t>
      </w:r>
      <w:r w:rsidRPr="000B71A9">
        <w:rPr>
          <w:rStyle w:val="ad"/>
          <w:sz w:val="20"/>
          <w:szCs w:val="20"/>
          <w:lang w:val="en-US"/>
        </w:rPr>
        <w:t>Int. J. Hydrogen Energy</w:t>
      </w:r>
      <w:r w:rsidRPr="000B71A9">
        <w:rPr>
          <w:sz w:val="20"/>
          <w:szCs w:val="20"/>
          <w:lang w:val="en-US"/>
        </w:rPr>
        <w:t xml:space="preserve"> </w:t>
      </w:r>
      <w:r w:rsidRPr="000B71A9">
        <w:rPr>
          <w:rStyle w:val="ae"/>
          <w:sz w:val="20"/>
          <w:szCs w:val="20"/>
          <w:lang w:val="en-US"/>
        </w:rPr>
        <w:t>39</w:t>
      </w:r>
      <w:r w:rsidRPr="000B71A9">
        <w:rPr>
          <w:sz w:val="20"/>
          <w:szCs w:val="20"/>
          <w:lang w:val="en-US"/>
        </w:rPr>
        <w:t xml:space="preserve">(9), 5325–5333 (2014), </w:t>
      </w:r>
      <w:hyperlink r:id="rId11" w:tgtFrame="_new" w:history="1">
        <w:r w:rsidRPr="000B71A9">
          <w:rPr>
            <w:rStyle w:val="a7"/>
            <w:sz w:val="20"/>
            <w:szCs w:val="20"/>
            <w:lang w:val="en-US"/>
          </w:rPr>
          <w:t>https://doi.org/10.1016/j.ijhydene.2013.11.117</w:t>
        </w:r>
      </w:hyperlink>
      <w:r w:rsidRPr="000B71A9">
        <w:rPr>
          <w:sz w:val="20"/>
          <w:szCs w:val="20"/>
          <w:lang w:val="en-US"/>
        </w:rPr>
        <w:t>.</w:t>
      </w:r>
    </w:p>
    <w:p w14:paraId="1BDC185B" w14:textId="77777777" w:rsidR="00850325" w:rsidRPr="00753A7D" w:rsidRDefault="00850325" w:rsidP="00850325">
      <w:pPr>
        <w:pStyle w:val="ab"/>
        <w:numPr>
          <w:ilvl w:val="0"/>
          <w:numId w:val="6"/>
        </w:numPr>
        <w:shd w:val="clear" w:color="auto" w:fill="FFFFFF"/>
        <w:spacing w:before="0" w:beforeAutospacing="0" w:after="0" w:afterAutospacing="0"/>
        <w:ind w:left="425" w:hanging="425"/>
        <w:jc w:val="both"/>
        <w:rPr>
          <w:bCs/>
          <w:color w:val="505050"/>
          <w:sz w:val="20"/>
          <w:szCs w:val="20"/>
          <w:lang w:val="en-US"/>
        </w:rPr>
      </w:pPr>
      <w:r w:rsidRPr="00753A7D">
        <w:rPr>
          <w:sz w:val="20"/>
          <w:szCs w:val="20"/>
          <w:lang w:val="en-US"/>
        </w:rPr>
        <w:t xml:space="preserve">S. R. </w:t>
      </w:r>
      <w:proofErr w:type="spellStart"/>
      <w:r w:rsidRPr="00753A7D">
        <w:rPr>
          <w:sz w:val="20"/>
          <w:szCs w:val="20"/>
          <w:lang w:val="en-US"/>
        </w:rPr>
        <w:t>Tursunov</w:t>
      </w:r>
      <w:proofErr w:type="spellEnd"/>
      <w:r w:rsidRPr="00753A7D">
        <w:rPr>
          <w:sz w:val="20"/>
          <w:szCs w:val="20"/>
          <w:lang w:val="en-US"/>
        </w:rPr>
        <w:t xml:space="preserve">, S. S. </w:t>
      </w:r>
      <w:proofErr w:type="spellStart"/>
      <w:r w:rsidRPr="00753A7D">
        <w:rPr>
          <w:sz w:val="20"/>
          <w:szCs w:val="20"/>
          <w:lang w:val="en-US"/>
        </w:rPr>
        <w:t>Sharipov</w:t>
      </w:r>
      <w:proofErr w:type="spellEnd"/>
      <w:r w:rsidRPr="00753A7D">
        <w:rPr>
          <w:sz w:val="20"/>
          <w:szCs w:val="20"/>
          <w:lang w:val="en-US"/>
        </w:rPr>
        <w:t xml:space="preserve">, and R. S. </w:t>
      </w:r>
      <w:proofErr w:type="spellStart"/>
      <w:r w:rsidRPr="00753A7D">
        <w:rPr>
          <w:sz w:val="20"/>
          <w:szCs w:val="20"/>
          <w:lang w:val="en-US"/>
        </w:rPr>
        <w:t>Khikmatov</w:t>
      </w:r>
      <w:proofErr w:type="spellEnd"/>
      <w:r w:rsidRPr="00753A7D">
        <w:rPr>
          <w:sz w:val="20"/>
          <w:szCs w:val="20"/>
          <w:lang w:val="en-US"/>
        </w:rPr>
        <w:t xml:space="preserve">, “Saving natural gas through the use of used oils in replacement by the method of their safe burning,” </w:t>
      </w:r>
      <w:r w:rsidRPr="00753A7D">
        <w:rPr>
          <w:rStyle w:val="ad"/>
          <w:sz w:val="20"/>
          <w:szCs w:val="20"/>
          <w:lang w:val="en-US"/>
        </w:rPr>
        <w:t>AIP Conf. Proc.</w:t>
      </w:r>
      <w:r w:rsidRPr="00753A7D">
        <w:rPr>
          <w:sz w:val="20"/>
          <w:szCs w:val="20"/>
          <w:lang w:val="en-US"/>
        </w:rPr>
        <w:t xml:space="preserve"> </w:t>
      </w:r>
      <w:r w:rsidRPr="00753A7D">
        <w:rPr>
          <w:rStyle w:val="ae"/>
          <w:sz w:val="20"/>
          <w:szCs w:val="20"/>
          <w:lang w:val="en-US"/>
        </w:rPr>
        <w:t>050022</w:t>
      </w:r>
      <w:r w:rsidRPr="00753A7D">
        <w:rPr>
          <w:sz w:val="20"/>
          <w:szCs w:val="20"/>
          <w:lang w:val="en-US"/>
        </w:rPr>
        <w:t xml:space="preserve"> (2024).</w:t>
      </w:r>
    </w:p>
    <w:p w14:paraId="09F29548" w14:textId="1C695F54" w:rsidR="00850325" w:rsidRPr="00753A7D" w:rsidRDefault="00850325" w:rsidP="00850325">
      <w:pPr>
        <w:pStyle w:val="ab"/>
        <w:numPr>
          <w:ilvl w:val="0"/>
          <w:numId w:val="6"/>
        </w:numPr>
        <w:shd w:val="clear" w:color="auto" w:fill="FFFFFF"/>
        <w:spacing w:before="0" w:beforeAutospacing="0" w:after="0" w:afterAutospacing="0"/>
        <w:ind w:left="425" w:hanging="425"/>
        <w:jc w:val="both"/>
        <w:rPr>
          <w:bCs/>
          <w:color w:val="505050"/>
          <w:sz w:val="20"/>
          <w:szCs w:val="20"/>
          <w:lang w:val="en-US"/>
        </w:rPr>
      </w:pPr>
      <w:proofErr w:type="spellStart"/>
      <w:proofErr w:type="gramStart"/>
      <w:r w:rsidRPr="00807E85">
        <w:rPr>
          <w:bCs/>
          <w:color w:val="2E2E2E"/>
          <w:sz w:val="20"/>
          <w:szCs w:val="20"/>
          <w:lang w:val="en-US" w:eastAsia="uz-Cyrl-UZ"/>
        </w:rPr>
        <w:t>Z.Alimova</w:t>
      </w:r>
      <w:proofErr w:type="spellEnd"/>
      <w:proofErr w:type="gramEnd"/>
      <w:r w:rsidRPr="00807E85">
        <w:rPr>
          <w:bCs/>
          <w:color w:val="2E2E2E"/>
          <w:sz w:val="20"/>
          <w:szCs w:val="20"/>
          <w:lang w:val="en-US" w:eastAsia="uz-Cyrl-UZ"/>
        </w:rPr>
        <w:t>,</w:t>
      </w:r>
      <w:r w:rsidRPr="00753A7D">
        <w:rPr>
          <w:rStyle w:val="typography-modulelvnit"/>
          <w:bCs/>
          <w:color w:val="2E2E2E"/>
          <w:sz w:val="20"/>
          <w:szCs w:val="20"/>
          <w:lang w:val="en-US"/>
        </w:rPr>
        <w:t xml:space="preserve"> G. </w:t>
      </w:r>
      <w:proofErr w:type="spellStart"/>
      <w:r w:rsidRPr="00753A7D">
        <w:rPr>
          <w:rStyle w:val="typography-modulelvnit"/>
          <w:bCs/>
          <w:color w:val="2E2E2E"/>
          <w:sz w:val="20"/>
          <w:szCs w:val="20"/>
          <w:lang w:val="en-US"/>
        </w:rPr>
        <w:t>Niyazova</w:t>
      </w:r>
      <w:proofErr w:type="spellEnd"/>
      <w:r w:rsidRPr="00753A7D">
        <w:rPr>
          <w:rStyle w:val="typography-modulelvnit"/>
          <w:bCs/>
          <w:color w:val="2E2E2E"/>
          <w:sz w:val="20"/>
          <w:szCs w:val="20"/>
          <w:lang w:val="en-US"/>
        </w:rPr>
        <w:t xml:space="preserve">, </w:t>
      </w:r>
      <w:r w:rsidRPr="00753A7D">
        <w:rPr>
          <w:sz w:val="20"/>
          <w:szCs w:val="20"/>
          <w:lang w:val="en-US"/>
        </w:rPr>
        <w:t>and</w:t>
      </w:r>
      <w:r w:rsidRPr="00753A7D">
        <w:rPr>
          <w:rStyle w:val="typography-modulelvnit"/>
          <w:bCs/>
          <w:color w:val="2E2E2E"/>
          <w:sz w:val="20"/>
          <w:szCs w:val="20"/>
          <w:lang w:val="en-US"/>
        </w:rPr>
        <w:t xml:space="preserve"> D. </w:t>
      </w:r>
      <w:proofErr w:type="spellStart"/>
      <w:r w:rsidRPr="00753A7D">
        <w:rPr>
          <w:rStyle w:val="typography-modulelvnit"/>
          <w:bCs/>
          <w:color w:val="2E2E2E"/>
          <w:sz w:val="20"/>
          <w:szCs w:val="20"/>
          <w:lang w:val="en-US"/>
        </w:rPr>
        <w:t>Sabirova</w:t>
      </w:r>
      <w:proofErr w:type="spellEnd"/>
      <w:r w:rsidRPr="00753A7D">
        <w:rPr>
          <w:rStyle w:val="typography-modulelvnit"/>
          <w:bCs/>
          <w:color w:val="2E2E2E"/>
          <w:sz w:val="20"/>
          <w:szCs w:val="20"/>
          <w:lang w:val="en-US"/>
        </w:rPr>
        <w:t xml:space="preserve">, </w:t>
      </w:r>
      <w:r w:rsidR="00DD17E7">
        <w:rPr>
          <w:rStyle w:val="typography-modulelvnit"/>
          <w:bCs/>
          <w:color w:val="2E2E2E"/>
          <w:sz w:val="20"/>
          <w:szCs w:val="20"/>
          <w:lang w:val="en-US"/>
        </w:rPr>
        <w:t>“</w:t>
      </w:r>
      <w:hyperlink r:id="rId12" w:history="1">
        <w:r w:rsidRPr="00753A7D">
          <w:rPr>
            <w:rStyle w:val="typography-modulelvnit"/>
            <w:bCs/>
            <w:color w:val="2E2E2E"/>
            <w:sz w:val="20"/>
            <w:szCs w:val="20"/>
            <w:lang w:val="en-US"/>
          </w:rPr>
          <w:t>Specifications for applying high octane additives to the motor gasoline in hot climate</w:t>
        </w:r>
      </w:hyperlink>
      <w:r w:rsidR="00DD17E7">
        <w:rPr>
          <w:rStyle w:val="typography-modulelvnit"/>
          <w:bCs/>
          <w:color w:val="2E2E2E"/>
          <w:sz w:val="20"/>
          <w:szCs w:val="20"/>
          <w:lang w:val="en-US"/>
        </w:rPr>
        <w:t>,”</w:t>
      </w:r>
      <w:r w:rsidRPr="00753A7D">
        <w:rPr>
          <w:bCs/>
          <w:color w:val="505050"/>
          <w:sz w:val="20"/>
          <w:szCs w:val="20"/>
          <w:lang w:val="en-US"/>
        </w:rPr>
        <w:t xml:space="preserve"> </w:t>
      </w:r>
      <w:r w:rsidRPr="00753A7D">
        <w:rPr>
          <w:rStyle w:val="ad"/>
          <w:bCs/>
          <w:sz w:val="20"/>
          <w:szCs w:val="20"/>
          <w:lang w:val="en-US"/>
        </w:rPr>
        <w:t>E3S Web Conf.</w:t>
      </w:r>
      <w:r w:rsidRPr="00753A7D">
        <w:rPr>
          <w:bCs/>
          <w:sz w:val="20"/>
          <w:szCs w:val="20"/>
          <w:lang w:val="en-US"/>
        </w:rPr>
        <w:t xml:space="preserve"> </w:t>
      </w:r>
      <w:r w:rsidRPr="00753A7D">
        <w:rPr>
          <w:rStyle w:val="ae"/>
          <w:sz w:val="20"/>
          <w:szCs w:val="20"/>
          <w:lang w:val="en-US"/>
        </w:rPr>
        <w:t>508</w:t>
      </w:r>
      <w:r w:rsidRPr="00753A7D">
        <w:rPr>
          <w:sz w:val="20"/>
          <w:szCs w:val="20"/>
          <w:lang w:val="en-US"/>
        </w:rPr>
        <w:t>,</w:t>
      </w:r>
      <w:r w:rsidRPr="00753A7D">
        <w:rPr>
          <w:bCs/>
          <w:sz w:val="20"/>
          <w:szCs w:val="20"/>
          <w:lang w:val="en-US"/>
        </w:rPr>
        <w:t xml:space="preserve"> 07010 (2024).</w:t>
      </w:r>
    </w:p>
    <w:p w14:paraId="09517D43" w14:textId="77777777" w:rsidR="00850325" w:rsidRPr="000B71A9" w:rsidRDefault="00850325" w:rsidP="00850325">
      <w:pPr>
        <w:pStyle w:val="ab"/>
        <w:numPr>
          <w:ilvl w:val="0"/>
          <w:numId w:val="6"/>
        </w:numPr>
        <w:spacing w:before="0" w:beforeAutospacing="0" w:after="0" w:afterAutospacing="0"/>
        <w:ind w:left="425" w:hanging="425"/>
        <w:jc w:val="both"/>
        <w:rPr>
          <w:sz w:val="20"/>
          <w:szCs w:val="20"/>
          <w:lang w:val="en-US"/>
        </w:rPr>
      </w:pPr>
      <w:r w:rsidRPr="000B71A9">
        <w:rPr>
          <w:sz w:val="20"/>
          <w:szCs w:val="20"/>
          <w:lang w:val="en-US"/>
        </w:rPr>
        <w:t xml:space="preserve">L. M. Das, “Hydrogen engine: research and development (R&amp;D) </w:t>
      </w:r>
      <w:proofErr w:type="spellStart"/>
      <w:r w:rsidRPr="000B71A9">
        <w:rPr>
          <w:sz w:val="20"/>
          <w:szCs w:val="20"/>
          <w:lang w:val="en-US"/>
        </w:rPr>
        <w:t>programmes</w:t>
      </w:r>
      <w:proofErr w:type="spellEnd"/>
      <w:r w:rsidRPr="000B71A9">
        <w:rPr>
          <w:sz w:val="20"/>
          <w:szCs w:val="20"/>
          <w:lang w:val="en-US"/>
        </w:rPr>
        <w:t xml:space="preserve"> in Indian Institute of Technology,” </w:t>
      </w:r>
      <w:r w:rsidRPr="000B71A9">
        <w:rPr>
          <w:rStyle w:val="ad"/>
          <w:sz w:val="20"/>
          <w:szCs w:val="20"/>
          <w:lang w:val="en-US"/>
        </w:rPr>
        <w:t>Int. J. Hydrogen Energy</w:t>
      </w:r>
      <w:r w:rsidRPr="000B71A9">
        <w:rPr>
          <w:sz w:val="20"/>
          <w:szCs w:val="20"/>
          <w:lang w:val="en-US"/>
        </w:rPr>
        <w:t xml:space="preserve"> </w:t>
      </w:r>
      <w:r w:rsidRPr="000B71A9">
        <w:rPr>
          <w:rStyle w:val="ae"/>
          <w:sz w:val="20"/>
          <w:szCs w:val="20"/>
          <w:lang w:val="en-US"/>
        </w:rPr>
        <w:t>27</w:t>
      </w:r>
      <w:r w:rsidRPr="000B71A9">
        <w:rPr>
          <w:sz w:val="20"/>
          <w:szCs w:val="20"/>
          <w:lang w:val="en-US"/>
        </w:rPr>
        <w:t xml:space="preserve">(9), 953–965 (2002), </w:t>
      </w:r>
      <w:hyperlink r:id="rId13" w:tgtFrame="_new" w:history="1">
        <w:r w:rsidRPr="000B71A9">
          <w:rPr>
            <w:rStyle w:val="a7"/>
            <w:sz w:val="20"/>
            <w:szCs w:val="20"/>
            <w:lang w:val="en-US"/>
          </w:rPr>
          <w:t>https://doi.org/10.1016/S0360-3199(02)00027-9</w:t>
        </w:r>
      </w:hyperlink>
      <w:r w:rsidRPr="000B71A9">
        <w:rPr>
          <w:sz w:val="20"/>
          <w:szCs w:val="20"/>
          <w:lang w:val="en-US"/>
        </w:rPr>
        <w:t>.</w:t>
      </w:r>
    </w:p>
    <w:p w14:paraId="1691C3D6" w14:textId="6DF577C0" w:rsidR="000B71A9" w:rsidRPr="000B71A9" w:rsidRDefault="000B71A9" w:rsidP="000B71A9">
      <w:pPr>
        <w:pStyle w:val="ab"/>
        <w:numPr>
          <w:ilvl w:val="0"/>
          <w:numId w:val="6"/>
        </w:numPr>
        <w:spacing w:before="0" w:beforeAutospacing="0" w:after="0" w:afterAutospacing="0"/>
        <w:ind w:left="425" w:hanging="425"/>
        <w:jc w:val="both"/>
        <w:rPr>
          <w:sz w:val="20"/>
          <w:szCs w:val="20"/>
          <w:lang w:val="en-US"/>
        </w:rPr>
      </w:pPr>
      <w:r w:rsidRPr="000B71A9">
        <w:rPr>
          <w:sz w:val="20"/>
          <w:szCs w:val="20"/>
          <w:lang w:val="en-US"/>
        </w:rPr>
        <w:t xml:space="preserve">Z. </w:t>
      </w:r>
      <w:proofErr w:type="spellStart"/>
      <w:r w:rsidRPr="000B71A9">
        <w:rPr>
          <w:sz w:val="20"/>
          <w:szCs w:val="20"/>
          <w:lang w:val="en-US"/>
        </w:rPr>
        <w:t>Kulmukhamedov</w:t>
      </w:r>
      <w:proofErr w:type="spellEnd"/>
      <w:r w:rsidRPr="000B71A9">
        <w:rPr>
          <w:sz w:val="20"/>
          <w:szCs w:val="20"/>
          <w:lang w:val="en-US"/>
        </w:rPr>
        <w:t xml:space="preserve">, R. </w:t>
      </w:r>
      <w:proofErr w:type="spellStart"/>
      <w:r w:rsidRPr="000B71A9">
        <w:rPr>
          <w:sz w:val="20"/>
          <w:szCs w:val="20"/>
          <w:lang w:val="en-US"/>
        </w:rPr>
        <w:t>Khikmatov</w:t>
      </w:r>
      <w:proofErr w:type="spellEnd"/>
      <w:r w:rsidRPr="000B71A9">
        <w:rPr>
          <w:sz w:val="20"/>
          <w:szCs w:val="20"/>
          <w:lang w:val="en-US"/>
        </w:rPr>
        <w:t xml:space="preserve">, A. </w:t>
      </w:r>
      <w:proofErr w:type="spellStart"/>
      <w:r w:rsidRPr="000B71A9">
        <w:rPr>
          <w:sz w:val="20"/>
          <w:szCs w:val="20"/>
          <w:lang w:val="en-US"/>
        </w:rPr>
        <w:t>Saidumarov</w:t>
      </w:r>
      <w:proofErr w:type="spellEnd"/>
      <w:r w:rsidRPr="000B71A9">
        <w:rPr>
          <w:sz w:val="20"/>
          <w:szCs w:val="20"/>
          <w:lang w:val="en-US"/>
        </w:rPr>
        <w:t xml:space="preserve">, and Y. </w:t>
      </w:r>
      <w:proofErr w:type="spellStart"/>
      <w:r w:rsidRPr="000B71A9">
        <w:rPr>
          <w:sz w:val="20"/>
          <w:szCs w:val="20"/>
          <w:lang w:val="en-US"/>
        </w:rPr>
        <w:t>Kulmukhamedova</w:t>
      </w:r>
      <w:proofErr w:type="spellEnd"/>
      <w:r w:rsidRPr="000B71A9">
        <w:rPr>
          <w:sz w:val="20"/>
          <w:szCs w:val="20"/>
          <w:lang w:val="en-US"/>
        </w:rPr>
        <w:t xml:space="preserve">, “Theoretical research of the external temperature influence on the traction and speed properties and the fuel economy of cargo-carrying vehicles,” </w:t>
      </w:r>
      <w:r w:rsidRPr="000B71A9">
        <w:rPr>
          <w:rStyle w:val="ad"/>
          <w:sz w:val="20"/>
          <w:szCs w:val="20"/>
          <w:lang w:val="en-US"/>
        </w:rPr>
        <w:t>J. Appl. Eng. Sci.</w:t>
      </w:r>
      <w:r w:rsidRPr="000B71A9">
        <w:rPr>
          <w:sz w:val="20"/>
          <w:szCs w:val="20"/>
          <w:lang w:val="en-US"/>
        </w:rPr>
        <w:t xml:space="preserve"> </w:t>
      </w:r>
      <w:r w:rsidRPr="000B71A9">
        <w:rPr>
          <w:rStyle w:val="ae"/>
          <w:sz w:val="20"/>
          <w:szCs w:val="20"/>
          <w:lang w:val="en-US"/>
        </w:rPr>
        <w:t>19</w:t>
      </w:r>
      <w:r w:rsidRPr="000B71A9">
        <w:rPr>
          <w:sz w:val="20"/>
          <w:szCs w:val="20"/>
          <w:lang w:val="en-US"/>
        </w:rPr>
        <w:t xml:space="preserve">(1), 68–76 (2021), </w:t>
      </w:r>
      <w:hyperlink r:id="rId14" w:tgtFrame="_new" w:history="1">
        <w:r w:rsidRPr="000B71A9">
          <w:rPr>
            <w:rStyle w:val="a7"/>
            <w:sz w:val="20"/>
            <w:szCs w:val="20"/>
            <w:lang w:val="en-US"/>
          </w:rPr>
          <w:t>https://doi.org/10.5937/jaes0-27851</w:t>
        </w:r>
      </w:hyperlink>
      <w:r w:rsidRPr="000B71A9">
        <w:rPr>
          <w:sz w:val="20"/>
          <w:szCs w:val="20"/>
          <w:lang w:val="en-US"/>
        </w:rPr>
        <w:t>.</w:t>
      </w:r>
    </w:p>
    <w:p w14:paraId="7112B2EB" w14:textId="7CFFED9E" w:rsidR="000B71A9" w:rsidRPr="000B71A9" w:rsidRDefault="000B71A9" w:rsidP="000B71A9">
      <w:pPr>
        <w:pStyle w:val="ab"/>
        <w:numPr>
          <w:ilvl w:val="0"/>
          <w:numId w:val="6"/>
        </w:numPr>
        <w:spacing w:before="0" w:beforeAutospacing="0" w:after="0" w:afterAutospacing="0"/>
        <w:ind w:left="425" w:hanging="425"/>
        <w:jc w:val="both"/>
        <w:rPr>
          <w:sz w:val="20"/>
          <w:szCs w:val="20"/>
          <w:lang w:val="en-US"/>
        </w:rPr>
      </w:pPr>
      <w:r w:rsidRPr="000B71A9">
        <w:rPr>
          <w:sz w:val="20"/>
          <w:szCs w:val="20"/>
          <w:lang w:val="en-US"/>
        </w:rPr>
        <w:t xml:space="preserve">S. </w:t>
      </w:r>
      <w:proofErr w:type="spellStart"/>
      <w:r w:rsidRPr="000B71A9">
        <w:rPr>
          <w:sz w:val="20"/>
          <w:szCs w:val="20"/>
          <w:lang w:val="en-US"/>
        </w:rPr>
        <w:t>Tursunov</w:t>
      </w:r>
      <w:proofErr w:type="spellEnd"/>
      <w:r w:rsidRPr="000B71A9">
        <w:rPr>
          <w:sz w:val="20"/>
          <w:szCs w:val="20"/>
          <w:lang w:val="en-US"/>
        </w:rPr>
        <w:t xml:space="preserve"> and R. </w:t>
      </w:r>
      <w:proofErr w:type="spellStart"/>
      <w:r w:rsidRPr="000B71A9">
        <w:rPr>
          <w:sz w:val="20"/>
          <w:szCs w:val="20"/>
          <w:lang w:val="en-US"/>
        </w:rPr>
        <w:t>Khikmatov</w:t>
      </w:r>
      <w:proofErr w:type="spellEnd"/>
      <w:r w:rsidRPr="000B71A9">
        <w:rPr>
          <w:sz w:val="20"/>
          <w:szCs w:val="20"/>
          <w:lang w:val="en-US"/>
        </w:rPr>
        <w:t xml:space="preserve">, “Increasing environmental safety, increasing service life of ICE units and assembly and saving fuel consumption through application of multifunctional fuel additives,” </w:t>
      </w:r>
      <w:r w:rsidRPr="000B71A9">
        <w:rPr>
          <w:rStyle w:val="ad"/>
          <w:sz w:val="20"/>
          <w:szCs w:val="20"/>
          <w:lang w:val="en-US"/>
        </w:rPr>
        <w:t>E3S Web Conf.</w:t>
      </w:r>
      <w:r w:rsidRPr="000B71A9">
        <w:rPr>
          <w:sz w:val="20"/>
          <w:szCs w:val="20"/>
          <w:lang w:val="en-US"/>
        </w:rPr>
        <w:t xml:space="preserve"> </w:t>
      </w:r>
      <w:r w:rsidRPr="000B71A9">
        <w:rPr>
          <w:rStyle w:val="ae"/>
          <w:sz w:val="20"/>
          <w:szCs w:val="20"/>
          <w:lang w:val="en-US"/>
        </w:rPr>
        <w:t>365</w:t>
      </w:r>
      <w:r w:rsidRPr="000B71A9">
        <w:rPr>
          <w:sz w:val="20"/>
          <w:szCs w:val="20"/>
          <w:lang w:val="en-US"/>
        </w:rPr>
        <w:t xml:space="preserve">, 01012 (2023), </w:t>
      </w:r>
      <w:hyperlink r:id="rId15" w:tgtFrame="_new" w:history="1">
        <w:r w:rsidRPr="000B71A9">
          <w:rPr>
            <w:rStyle w:val="a7"/>
            <w:sz w:val="20"/>
            <w:szCs w:val="20"/>
            <w:lang w:val="en-US"/>
          </w:rPr>
          <w:t>https://doi.org/10.1051/e3sconf/202336501012</w:t>
        </w:r>
      </w:hyperlink>
      <w:r w:rsidRPr="000B71A9">
        <w:rPr>
          <w:sz w:val="20"/>
          <w:szCs w:val="20"/>
          <w:lang w:val="en-US"/>
        </w:rPr>
        <w:t>.</w:t>
      </w:r>
    </w:p>
    <w:p w14:paraId="05E5E1CB" w14:textId="52A1989B" w:rsidR="000B71A9" w:rsidRPr="000B71A9" w:rsidRDefault="000B71A9" w:rsidP="000B71A9">
      <w:pPr>
        <w:pStyle w:val="ab"/>
        <w:numPr>
          <w:ilvl w:val="0"/>
          <w:numId w:val="6"/>
        </w:numPr>
        <w:spacing w:before="0" w:beforeAutospacing="0" w:after="0" w:afterAutospacing="0"/>
        <w:ind w:left="425" w:hanging="425"/>
        <w:jc w:val="both"/>
        <w:rPr>
          <w:sz w:val="20"/>
          <w:szCs w:val="20"/>
          <w:lang w:val="en-US"/>
        </w:rPr>
      </w:pPr>
      <w:r w:rsidRPr="000B71A9">
        <w:rPr>
          <w:sz w:val="20"/>
          <w:szCs w:val="20"/>
          <w:lang w:val="en-US"/>
        </w:rPr>
        <w:t xml:space="preserve">S. </w:t>
      </w:r>
      <w:proofErr w:type="spellStart"/>
      <w:r w:rsidRPr="000B71A9">
        <w:rPr>
          <w:sz w:val="20"/>
          <w:szCs w:val="20"/>
          <w:lang w:val="en-US"/>
        </w:rPr>
        <w:t>Verhelst</w:t>
      </w:r>
      <w:proofErr w:type="spellEnd"/>
      <w:r w:rsidRPr="000B71A9">
        <w:rPr>
          <w:sz w:val="20"/>
          <w:szCs w:val="20"/>
          <w:lang w:val="en-US"/>
        </w:rPr>
        <w:t xml:space="preserve"> and T. </w:t>
      </w:r>
      <w:proofErr w:type="spellStart"/>
      <w:r w:rsidRPr="000B71A9">
        <w:rPr>
          <w:sz w:val="20"/>
          <w:szCs w:val="20"/>
          <w:lang w:val="en-US"/>
        </w:rPr>
        <w:t>Wallner</w:t>
      </w:r>
      <w:proofErr w:type="spellEnd"/>
      <w:r w:rsidRPr="000B71A9">
        <w:rPr>
          <w:sz w:val="20"/>
          <w:szCs w:val="20"/>
          <w:lang w:val="en-US"/>
        </w:rPr>
        <w:t xml:space="preserve">, “Hydrogen-fueled internal combustion engines,” </w:t>
      </w:r>
      <w:r w:rsidRPr="000B71A9">
        <w:rPr>
          <w:rStyle w:val="ad"/>
          <w:sz w:val="20"/>
          <w:szCs w:val="20"/>
          <w:lang w:val="en-US"/>
        </w:rPr>
        <w:t>Prog. Energy Combust. Sci.</w:t>
      </w:r>
      <w:r w:rsidRPr="000B71A9">
        <w:rPr>
          <w:sz w:val="20"/>
          <w:szCs w:val="20"/>
          <w:lang w:val="en-US"/>
        </w:rPr>
        <w:t xml:space="preserve"> </w:t>
      </w:r>
      <w:r w:rsidRPr="000B71A9">
        <w:rPr>
          <w:rStyle w:val="ae"/>
          <w:sz w:val="20"/>
          <w:szCs w:val="20"/>
          <w:lang w:val="en-US"/>
        </w:rPr>
        <w:t>35</w:t>
      </w:r>
      <w:r w:rsidRPr="000B71A9">
        <w:rPr>
          <w:sz w:val="20"/>
          <w:szCs w:val="20"/>
          <w:lang w:val="en-US"/>
        </w:rPr>
        <w:t xml:space="preserve">(6), 490–527 (2009), </w:t>
      </w:r>
      <w:hyperlink r:id="rId16" w:tgtFrame="_new" w:history="1">
        <w:r w:rsidRPr="000B71A9">
          <w:rPr>
            <w:rStyle w:val="a7"/>
            <w:sz w:val="20"/>
            <w:szCs w:val="20"/>
            <w:lang w:val="en-US"/>
          </w:rPr>
          <w:t>https://doi.org/10.1016/j.pecs.2009.06.003</w:t>
        </w:r>
      </w:hyperlink>
      <w:r w:rsidRPr="000B71A9">
        <w:rPr>
          <w:sz w:val="20"/>
          <w:szCs w:val="20"/>
          <w:lang w:val="en-US"/>
        </w:rPr>
        <w:t>.</w:t>
      </w:r>
    </w:p>
    <w:p w14:paraId="54B0C395" w14:textId="5A3172BF" w:rsidR="00753A7D" w:rsidRPr="00807E85" w:rsidRDefault="00753A7D" w:rsidP="00753A7D">
      <w:pPr>
        <w:pStyle w:val="ab"/>
        <w:numPr>
          <w:ilvl w:val="0"/>
          <w:numId w:val="6"/>
        </w:numPr>
        <w:spacing w:before="0" w:beforeAutospacing="0" w:after="0" w:afterAutospacing="0"/>
        <w:ind w:left="425" w:hanging="425"/>
        <w:jc w:val="both"/>
        <w:rPr>
          <w:sz w:val="20"/>
          <w:szCs w:val="20"/>
          <w:lang w:val="en-US"/>
        </w:rPr>
      </w:pPr>
      <w:r w:rsidRPr="00807E85">
        <w:rPr>
          <w:color w:val="2E2E2E"/>
          <w:sz w:val="20"/>
          <w:szCs w:val="20"/>
          <w:lang w:val="en-US" w:eastAsia="uz-Cyrl-UZ"/>
        </w:rPr>
        <w:t>Z.</w:t>
      </w:r>
      <w:r>
        <w:rPr>
          <w:color w:val="2E2E2E"/>
          <w:sz w:val="20"/>
          <w:szCs w:val="20"/>
          <w:lang w:val="en-US" w:eastAsia="uz-Cyrl-UZ"/>
        </w:rPr>
        <w:t xml:space="preserve"> </w:t>
      </w:r>
      <w:proofErr w:type="spellStart"/>
      <w:r w:rsidRPr="00807E85">
        <w:rPr>
          <w:color w:val="2E2E2E"/>
          <w:sz w:val="20"/>
          <w:szCs w:val="20"/>
          <w:lang w:val="en-US" w:eastAsia="uz-Cyrl-UZ"/>
        </w:rPr>
        <w:t>Alimova</w:t>
      </w:r>
      <w:proofErr w:type="spellEnd"/>
      <w:r w:rsidRPr="00807E85">
        <w:rPr>
          <w:color w:val="2E2E2E"/>
          <w:sz w:val="20"/>
          <w:szCs w:val="20"/>
          <w:lang w:val="en-US" w:eastAsia="uz-Cyrl-UZ"/>
        </w:rPr>
        <w:t>, S.</w:t>
      </w:r>
      <w:r>
        <w:rPr>
          <w:color w:val="2E2E2E"/>
          <w:sz w:val="20"/>
          <w:szCs w:val="20"/>
          <w:lang w:val="en-US" w:eastAsia="uz-Cyrl-UZ"/>
        </w:rPr>
        <w:t xml:space="preserve"> </w:t>
      </w:r>
      <w:proofErr w:type="spellStart"/>
      <w:r w:rsidRPr="00807E85">
        <w:rPr>
          <w:color w:val="2E2E2E"/>
          <w:sz w:val="20"/>
          <w:szCs w:val="20"/>
          <w:lang w:val="en-US" w:eastAsia="uz-Cyrl-UZ"/>
        </w:rPr>
        <w:t>Tursunov</w:t>
      </w:r>
      <w:proofErr w:type="spellEnd"/>
      <w:r w:rsidRPr="00807E85">
        <w:rPr>
          <w:color w:val="2E2E2E"/>
          <w:sz w:val="20"/>
          <w:szCs w:val="20"/>
          <w:lang w:val="en-US" w:eastAsia="uz-Cyrl-UZ"/>
        </w:rPr>
        <w:t>,</w:t>
      </w:r>
      <w:r>
        <w:rPr>
          <w:color w:val="2E2E2E"/>
          <w:sz w:val="20"/>
          <w:szCs w:val="20"/>
          <w:lang w:val="en-US" w:eastAsia="uz-Cyrl-UZ"/>
        </w:rPr>
        <w:t xml:space="preserve"> </w:t>
      </w:r>
      <w:r w:rsidRPr="00807E85">
        <w:rPr>
          <w:color w:val="2E2E2E"/>
          <w:sz w:val="20"/>
          <w:szCs w:val="20"/>
          <w:lang w:val="en-US" w:eastAsia="uz-Cyrl-UZ"/>
        </w:rPr>
        <w:t>R.</w:t>
      </w:r>
      <w:r>
        <w:rPr>
          <w:color w:val="2E2E2E"/>
          <w:sz w:val="20"/>
          <w:szCs w:val="20"/>
          <w:lang w:val="en-US" w:eastAsia="uz-Cyrl-UZ"/>
        </w:rPr>
        <w:t xml:space="preserve"> </w:t>
      </w:r>
      <w:proofErr w:type="spellStart"/>
      <w:r w:rsidRPr="00807E85">
        <w:rPr>
          <w:color w:val="2E2E2E"/>
          <w:sz w:val="20"/>
          <w:szCs w:val="20"/>
          <w:lang w:val="en-US" w:eastAsia="uz-Cyrl-UZ"/>
        </w:rPr>
        <w:t>Khikmatov</w:t>
      </w:r>
      <w:proofErr w:type="spellEnd"/>
      <w:r>
        <w:rPr>
          <w:color w:val="2E2E2E"/>
          <w:sz w:val="20"/>
          <w:szCs w:val="20"/>
          <w:lang w:val="en-US" w:eastAsia="uz-Cyrl-UZ"/>
        </w:rPr>
        <w:t xml:space="preserve"> </w:t>
      </w:r>
      <w:r w:rsidRPr="000B71A9">
        <w:rPr>
          <w:sz w:val="20"/>
          <w:szCs w:val="20"/>
          <w:lang w:val="en-US"/>
        </w:rPr>
        <w:t>and</w:t>
      </w:r>
      <w:r>
        <w:rPr>
          <w:color w:val="2E2E2E"/>
          <w:sz w:val="20"/>
          <w:szCs w:val="20"/>
          <w:lang w:val="en-US" w:eastAsia="uz-Cyrl-UZ"/>
        </w:rPr>
        <w:t xml:space="preserve"> </w:t>
      </w:r>
      <w:r w:rsidRPr="00807E85">
        <w:rPr>
          <w:color w:val="2E2E2E"/>
          <w:sz w:val="20"/>
          <w:szCs w:val="20"/>
          <w:lang w:val="en-US" w:eastAsia="uz-Cyrl-UZ"/>
        </w:rPr>
        <w:t>S.</w:t>
      </w:r>
      <w:r>
        <w:rPr>
          <w:color w:val="2E2E2E"/>
          <w:sz w:val="20"/>
          <w:szCs w:val="20"/>
          <w:lang w:val="en-US" w:eastAsia="uz-Cyrl-UZ"/>
        </w:rPr>
        <w:t xml:space="preserve"> </w:t>
      </w:r>
      <w:proofErr w:type="spellStart"/>
      <w:r w:rsidRPr="00807E85">
        <w:rPr>
          <w:color w:val="2E2E2E"/>
          <w:sz w:val="20"/>
          <w:szCs w:val="20"/>
          <w:lang w:val="en-US" w:eastAsia="uz-Cyrl-UZ"/>
        </w:rPr>
        <w:t>Pulatov</w:t>
      </w:r>
      <w:proofErr w:type="spellEnd"/>
      <w:r w:rsidRPr="00807E85">
        <w:rPr>
          <w:color w:val="2E2E2E"/>
          <w:sz w:val="20"/>
          <w:szCs w:val="20"/>
          <w:lang w:val="en-US" w:eastAsia="uz-Cyrl-UZ"/>
        </w:rPr>
        <w:t xml:space="preserve">, </w:t>
      </w:r>
      <w:r w:rsidR="00DD17E7">
        <w:rPr>
          <w:color w:val="2E2E2E"/>
          <w:sz w:val="20"/>
          <w:szCs w:val="20"/>
          <w:lang w:val="en-US" w:eastAsia="uz-Cyrl-UZ"/>
        </w:rPr>
        <w:t>“</w:t>
      </w:r>
      <w:hyperlink r:id="rId17" w:history="1">
        <w:r w:rsidRPr="00807E85">
          <w:rPr>
            <w:color w:val="2E2E2E"/>
            <w:sz w:val="20"/>
            <w:szCs w:val="20"/>
            <w:lang w:val="en-US" w:eastAsia="uz-Cyrl-UZ"/>
          </w:rPr>
          <w:t>Evaluating motor oil quality in heavily loaded quarry vehicle engines</w:t>
        </w:r>
      </w:hyperlink>
      <w:r w:rsidR="00DD17E7">
        <w:rPr>
          <w:color w:val="2E2E2E"/>
          <w:sz w:val="20"/>
          <w:szCs w:val="20"/>
          <w:lang w:val="en-US" w:eastAsia="uz-Cyrl-UZ"/>
        </w:rPr>
        <w:t>”</w:t>
      </w:r>
      <w:r w:rsidRPr="00807E85">
        <w:rPr>
          <w:color w:val="505050"/>
          <w:sz w:val="20"/>
          <w:szCs w:val="20"/>
          <w:lang w:val="en-US" w:eastAsia="uz-Cyrl-UZ"/>
        </w:rPr>
        <w:t xml:space="preserve">, </w:t>
      </w:r>
      <w:bookmarkStart w:id="3" w:name="_Hlk208500398"/>
      <w:r w:rsidRPr="00807E85">
        <w:rPr>
          <w:rStyle w:val="ad"/>
          <w:sz w:val="20"/>
          <w:szCs w:val="20"/>
          <w:lang w:val="en-US"/>
        </w:rPr>
        <w:t>AIP Conf. Proc.</w:t>
      </w:r>
      <w:r w:rsidRPr="00807E85">
        <w:rPr>
          <w:sz w:val="20"/>
          <w:szCs w:val="20"/>
          <w:lang w:val="en-US"/>
        </w:rPr>
        <w:t xml:space="preserve"> </w:t>
      </w:r>
      <w:r>
        <w:rPr>
          <w:sz w:val="20"/>
          <w:szCs w:val="20"/>
          <w:lang w:val="en-US"/>
        </w:rPr>
        <w:t xml:space="preserve">3304 (1), </w:t>
      </w:r>
      <w:r w:rsidRPr="00807E85">
        <w:rPr>
          <w:rStyle w:val="ae"/>
          <w:sz w:val="20"/>
          <w:szCs w:val="20"/>
          <w:lang w:val="en-US"/>
        </w:rPr>
        <w:t>030041</w:t>
      </w:r>
      <w:r w:rsidRPr="00807E85">
        <w:rPr>
          <w:sz w:val="20"/>
          <w:szCs w:val="20"/>
          <w:lang w:val="en-US"/>
        </w:rPr>
        <w:t xml:space="preserve"> (2025).</w:t>
      </w:r>
    </w:p>
    <w:bookmarkEnd w:id="3"/>
    <w:p w14:paraId="6F754372" w14:textId="1B52CAA6" w:rsidR="000B71A9" w:rsidRPr="000B71A9" w:rsidRDefault="000B71A9" w:rsidP="000B71A9">
      <w:pPr>
        <w:pStyle w:val="ab"/>
        <w:numPr>
          <w:ilvl w:val="0"/>
          <w:numId w:val="6"/>
        </w:numPr>
        <w:spacing w:before="0" w:beforeAutospacing="0" w:after="0" w:afterAutospacing="0"/>
        <w:ind w:left="425" w:hanging="425"/>
        <w:jc w:val="both"/>
        <w:rPr>
          <w:sz w:val="20"/>
          <w:szCs w:val="20"/>
          <w:lang w:val="en-US"/>
        </w:rPr>
      </w:pPr>
      <w:r w:rsidRPr="000B71A9">
        <w:rPr>
          <w:sz w:val="20"/>
          <w:szCs w:val="20"/>
          <w:lang w:val="en-US"/>
        </w:rPr>
        <w:t xml:space="preserve">S. </w:t>
      </w:r>
      <w:proofErr w:type="spellStart"/>
      <w:r w:rsidRPr="000B71A9">
        <w:rPr>
          <w:sz w:val="20"/>
          <w:szCs w:val="20"/>
          <w:lang w:val="en-US"/>
        </w:rPr>
        <w:t>Verhelst</w:t>
      </w:r>
      <w:proofErr w:type="spellEnd"/>
      <w:r w:rsidRPr="000B71A9">
        <w:rPr>
          <w:sz w:val="20"/>
          <w:szCs w:val="20"/>
          <w:lang w:val="en-US"/>
        </w:rPr>
        <w:t xml:space="preserve"> and C. G. W. Sheppard, “Multi-dimensional modeling of hydrogen-fueled internal combustion engines,” </w:t>
      </w:r>
      <w:r w:rsidRPr="000B71A9">
        <w:rPr>
          <w:rStyle w:val="ad"/>
          <w:sz w:val="20"/>
          <w:szCs w:val="20"/>
          <w:lang w:val="en-US"/>
        </w:rPr>
        <w:t>Int. J. Hydrogen Energy</w:t>
      </w:r>
      <w:r w:rsidRPr="000B71A9">
        <w:rPr>
          <w:sz w:val="20"/>
          <w:szCs w:val="20"/>
          <w:lang w:val="en-US"/>
        </w:rPr>
        <w:t xml:space="preserve"> </w:t>
      </w:r>
      <w:r w:rsidRPr="000B71A9">
        <w:rPr>
          <w:rStyle w:val="ae"/>
          <w:sz w:val="20"/>
          <w:szCs w:val="20"/>
          <w:lang w:val="en-US"/>
        </w:rPr>
        <w:t>34</w:t>
      </w:r>
      <w:r w:rsidRPr="000B71A9">
        <w:rPr>
          <w:sz w:val="20"/>
          <w:szCs w:val="20"/>
          <w:lang w:val="en-US"/>
        </w:rPr>
        <w:t xml:space="preserve">(6), 2771–2785 (2009), </w:t>
      </w:r>
      <w:hyperlink r:id="rId18" w:tgtFrame="_new" w:history="1">
        <w:r w:rsidRPr="000B71A9">
          <w:rPr>
            <w:rStyle w:val="a7"/>
            <w:sz w:val="20"/>
            <w:szCs w:val="20"/>
            <w:lang w:val="en-US"/>
          </w:rPr>
          <w:t>https://doi.org/10.1016/j.ijhydene.2009.01.082</w:t>
        </w:r>
      </w:hyperlink>
      <w:r w:rsidRPr="000B71A9">
        <w:rPr>
          <w:sz w:val="20"/>
          <w:szCs w:val="20"/>
          <w:lang w:val="en-US"/>
        </w:rPr>
        <w:t>.</w:t>
      </w:r>
    </w:p>
    <w:p w14:paraId="00A94D27" w14:textId="52350870" w:rsidR="000B71A9" w:rsidRPr="000B71A9" w:rsidRDefault="000B71A9" w:rsidP="000B71A9">
      <w:pPr>
        <w:pStyle w:val="ab"/>
        <w:numPr>
          <w:ilvl w:val="0"/>
          <w:numId w:val="6"/>
        </w:numPr>
        <w:spacing w:before="0" w:beforeAutospacing="0" w:after="0" w:afterAutospacing="0"/>
        <w:ind w:left="425" w:hanging="425"/>
        <w:jc w:val="both"/>
        <w:rPr>
          <w:sz w:val="20"/>
          <w:szCs w:val="20"/>
          <w:lang w:val="en-US"/>
        </w:rPr>
      </w:pPr>
      <w:r w:rsidRPr="000B71A9">
        <w:rPr>
          <w:sz w:val="20"/>
          <w:szCs w:val="20"/>
          <w:lang w:val="en-US"/>
        </w:rPr>
        <w:t xml:space="preserve">S. </w:t>
      </w:r>
      <w:proofErr w:type="spellStart"/>
      <w:r w:rsidRPr="000B71A9">
        <w:rPr>
          <w:sz w:val="20"/>
          <w:szCs w:val="20"/>
          <w:lang w:val="en-US"/>
        </w:rPr>
        <w:t>Basavarajappa</w:t>
      </w:r>
      <w:proofErr w:type="spellEnd"/>
      <w:r w:rsidRPr="000B71A9">
        <w:rPr>
          <w:sz w:val="20"/>
          <w:szCs w:val="20"/>
          <w:lang w:val="en-US"/>
        </w:rPr>
        <w:t xml:space="preserve">, M. B. Hiremath, M. E. M. </w:t>
      </w:r>
      <w:proofErr w:type="spellStart"/>
      <w:r w:rsidRPr="000B71A9">
        <w:rPr>
          <w:sz w:val="20"/>
          <w:szCs w:val="20"/>
          <w:lang w:val="en-US"/>
        </w:rPr>
        <w:t>Soudagar</w:t>
      </w:r>
      <w:proofErr w:type="spellEnd"/>
      <w:r w:rsidRPr="000B71A9">
        <w:rPr>
          <w:sz w:val="20"/>
          <w:szCs w:val="20"/>
          <w:lang w:val="en-US"/>
        </w:rPr>
        <w:t>, A. A. Faisal, I. A. Badruddin, H. H. Al-</w:t>
      </w:r>
      <w:proofErr w:type="spellStart"/>
      <w:r w:rsidRPr="000B71A9">
        <w:rPr>
          <w:sz w:val="20"/>
          <w:szCs w:val="20"/>
          <w:lang w:val="en-US"/>
        </w:rPr>
        <w:t>Kayiem</w:t>
      </w:r>
      <w:proofErr w:type="spellEnd"/>
      <w:r w:rsidRPr="000B71A9">
        <w:rPr>
          <w:sz w:val="20"/>
          <w:szCs w:val="20"/>
          <w:lang w:val="en-US"/>
        </w:rPr>
        <w:t xml:space="preserve">, </w:t>
      </w:r>
      <w:r w:rsidRPr="000B71A9">
        <w:rPr>
          <w:rStyle w:val="ad"/>
          <w:sz w:val="20"/>
          <w:szCs w:val="20"/>
          <w:lang w:val="en-US"/>
        </w:rPr>
        <w:t>et al.</w:t>
      </w:r>
      <w:r w:rsidRPr="000B71A9">
        <w:rPr>
          <w:sz w:val="20"/>
          <w:szCs w:val="20"/>
          <w:lang w:val="en-US"/>
        </w:rPr>
        <w:t xml:space="preserve">, “A review on production and implementation of hydrogen as a green fuel in internal combustion engines,” </w:t>
      </w:r>
      <w:r w:rsidRPr="000B71A9">
        <w:rPr>
          <w:rStyle w:val="ad"/>
          <w:sz w:val="20"/>
          <w:szCs w:val="20"/>
          <w:lang w:val="en-US"/>
        </w:rPr>
        <w:t>Fuel</w:t>
      </w:r>
      <w:r w:rsidRPr="000B71A9">
        <w:rPr>
          <w:sz w:val="20"/>
          <w:szCs w:val="20"/>
          <w:lang w:val="en-US"/>
        </w:rPr>
        <w:t xml:space="preserve"> </w:t>
      </w:r>
      <w:r w:rsidRPr="000B71A9">
        <w:rPr>
          <w:rStyle w:val="ae"/>
          <w:sz w:val="20"/>
          <w:szCs w:val="20"/>
          <w:lang w:val="en-US"/>
        </w:rPr>
        <w:t>333</w:t>
      </w:r>
      <w:r w:rsidRPr="000B71A9">
        <w:rPr>
          <w:sz w:val="20"/>
          <w:szCs w:val="20"/>
          <w:lang w:val="en-US"/>
        </w:rPr>
        <w:t xml:space="preserve">(Part 2), 126525 (2023), </w:t>
      </w:r>
      <w:hyperlink r:id="rId19" w:tgtFrame="_new" w:history="1">
        <w:r w:rsidRPr="000B71A9">
          <w:rPr>
            <w:rStyle w:val="a7"/>
            <w:sz w:val="20"/>
            <w:szCs w:val="20"/>
            <w:lang w:val="en-US"/>
          </w:rPr>
          <w:t>https://doi.org/10.1016/j.fuel.2022.126525</w:t>
        </w:r>
      </w:hyperlink>
      <w:r w:rsidRPr="000B71A9">
        <w:rPr>
          <w:sz w:val="20"/>
          <w:szCs w:val="20"/>
          <w:lang w:val="en-US"/>
        </w:rPr>
        <w:t>.</w:t>
      </w:r>
    </w:p>
    <w:p w14:paraId="2204E1B7" w14:textId="69B7AF23" w:rsidR="00CA1C78" w:rsidRDefault="00CA1C78" w:rsidP="00CA1C78">
      <w:pPr>
        <w:pStyle w:val="ab"/>
        <w:numPr>
          <w:ilvl w:val="0"/>
          <w:numId w:val="6"/>
        </w:numPr>
        <w:spacing w:before="0" w:beforeAutospacing="0" w:after="0" w:afterAutospacing="0"/>
        <w:ind w:left="425" w:hanging="425"/>
        <w:jc w:val="both"/>
        <w:rPr>
          <w:rStyle w:val="ad"/>
          <w:i w:val="0"/>
          <w:iCs w:val="0"/>
          <w:sz w:val="20"/>
          <w:szCs w:val="20"/>
          <w:lang w:val="en-US"/>
        </w:rPr>
      </w:pPr>
      <w:r w:rsidRPr="00974B2D">
        <w:rPr>
          <w:color w:val="2E2E2E"/>
          <w:sz w:val="20"/>
          <w:szCs w:val="20"/>
          <w:lang w:val="en-US" w:eastAsia="uz-Cyrl-UZ"/>
        </w:rPr>
        <w:t>T.</w:t>
      </w:r>
      <w:r>
        <w:rPr>
          <w:color w:val="2E2E2E"/>
          <w:sz w:val="20"/>
          <w:szCs w:val="20"/>
          <w:lang w:val="en-US" w:eastAsia="uz-Cyrl-UZ"/>
        </w:rPr>
        <w:t xml:space="preserve"> </w:t>
      </w:r>
      <w:r w:rsidRPr="00974B2D">
        <w:rPr>
          <w:color w:val="2E2E2E"/>
          <w:sz w:val="20"/>
          <w:szCs w:val="20"/>
          <w:lang w:val="en-US" w:eastAsia="uz-Cyrl-UZ"/>
        </w:rPr>
        <w:t>X.</w:t>
      </w:r>
      <w:r>
        <w:rPr>
          <w:color w:val="2E2E2E"/>
          <w:sz w:val="20"/>
          <w:szCs w:val="20"/>
          <w:lang w:val="en-US" w:eastAsia="uz-Cyrl-UZ"/>
        </w:rPr>
        <w:t xml:space="preserve"> </w:t>
      </w:r>
      <w:proofErr w:type="spellStart"/>
      <w:r w:rsidRPr="00974B2D">
        <w:rPr>
          <w:color w:val="2E2E2E"/>
          <w:sz w:val="20"/>
          <w:szCs w:val="20"/>
          <w:lang w:val="en-US" w:eastAsia="uz-Cyrl-UZ"/>
        </w:rPr>
        <w:t>Razzokov</w:t>
      </w:r>
      <w:proofErr w:type="spellEnd"/>
      <w:r w:rsidRPr="00974B2D">
        <w:rPr>
          <w:color w:val="2E2E2E"/>
          <w:sz w:val="20"/>
          <w:szCs w:val="20"/>
          <w:lang w:val="en-US" w:eastAsia="uz-Cyrl-UZ"/>
        </w:rPr>
        <w:t>, S.</w:t>
      </w:r>
      <w:r>
        <w:rPr>
          <w:color w:val="2E2E2E"/>
          <w:sz w:val="20"/>
          <w:szCs w:val="20"/>
          <w:lang w:val="en-US" w:eastAsia="uz-Cyrl-UZ"/>
        </w:rPr>
        <w:t xml:space="preserve"> </w:t>
      </w:r>
      <w:r w:rsidRPr="00974B2D">
        <w:rPr>
          <w:color w:val="2E2E2E"/>
          <w:sz w:val="20"/>
          <w:szCs w:val="20"/>
          <w:lang w:val="en-US" w:eastAsia="uz-Cyrl-UZ"/>
        </w:rPr>
        <w:t>J.</w:t>
      </w:r>
      <w:r>
        <w:rPr>
          <w:color w:val="2E2E2E"/>
          <w:sz w:val="20"/>
          <w:szCs w:val="20"/>
          <w:lang w:val="en-US" w:eastAsia="uz-Cyrl-UZ"/>
        </w:rPr>
        <w:t xml:space="preserve"> </w:t>
      </w:r>
      <w:proofErr w:type="spellStart"/>
      <w:r w:rsidRPr="00974B2D">
        <w:rPr>
          <w:color w:val="2E2E2E"/>
          <w:sz w:val="20"/>
          <w:szCs w:val="20"/>
          <w:lang w:val="en-US" w:eastAsia="uz-Cyrl-UZ"/>
        </w:rPr>
        <w:t>Toshtemirov</w:t>
      </w:r>
      <w:proofErr w:type="spellEnd"/>
      <w:r w:rsidRPr="00974B2D">
        <w:rPr>
          <w:color w:val="2E2E2E"/>
          <w:sz w:val="20"/>
          <w:szCs w:val="20"/>
          <w:lang w:val="en-US" w:eastAsia="uz-Cyrl-UZ"/>
        </w:rPr>
        <w:t>, G.</w:t>
      </w:r>
      <w:r>
        <w:rPr>
          <w:color w:val="2E2E2E"/>
          <w:sz w:val="20"/>
          <w:szCs w:val="20"/>
          <w:lang w:val="en-US" w:eastAsia="uz-Cyrl-UZ"/>
        </w:rPr>
        <w:t xml:space="preserve"> </w:t>
      </w:r>
      <w:r w:rsidRPr="00974B2D">
        <w:rPr>
          <w:color w:val="2E2E2E"/>
          <w:sz w:val="20"/>
          <w:szCs w:val="20"/>
          <w:lang w:val="en-US" w:eastAsia="uz-Cyrl-UZ"/>
        </w:rPr>
        <w:t xml:space="preserve">K. </w:t>
      </w:r>
      <w:proofErr w:type="spellStart"/>
      <w:r w:rsidRPr="00974B2D">
        <w:rPr>
          <w:color w:val="2E2E2E"/>
          <w:sz w:val="20"/>
          <w:szCs w:val="20"/>
          <w:lang w:val="en-US" w:eastAsia="uz-Cyrl-UZ"/>
        </w:rPr>
        <w:t>Ergashov</w:t>
      </w:r>
      <w:proofErr w:type="spellEnd"/>
      <w:r w:rsidRPr="00974B2D">
        <w:rPr>
          <w:color w:val="2E2E2E"/>
          <w:sz w:val="20"/>
          <w:szCs w:val="20"/>
          <w:lang w:val="en-US" w:eastAsia="uz-Cyrl-UZ"/>
        </w:rPr>
        <w:t>, N.</w:t>
      </w:r>
      <w:r>
        <w:rPr>
          <w:color w:val="2E2E2E"/>
          <w:sz w:val="20"/>
          <w:szCs w:val="20"/>
          <w:lang w:val="en-US" w:eastAsia="uz-Cyrl-UZ"/>
        </w:rPr>
        <w:t xml:space="preserve"> </w:t>
      </w:r>
      <w:r w:rsidRPr="00974B2D">
        <w:rPr>
          <w:color w:val="2E2E2E"/>
          <w:sz w:val="20"/>
          <w:szCs w:val="20"/>
          <w:lang w:val="en-US" w:eastAsia="uz-Cyrl-UZ"/>
        </w:rPr>
        <w:t>S.</w:t>
      </w:r>
      <w:r>
        <w:rPr>
          <w:color w:val="2E2E2E"/>
          <w:sz w:val="20"/>
          <w:szCs w:val="20"/>
          <w:lang w:val="en-US" w:eastAsia="uz-Cyrl-UZ"/>
        </w:rPr>
        <w:t xml:space="preserve"> </w:t>
      </w:r>
      <w:proofErr w:type="spellStart"/>
      <w:r w:rsidRPr="00974B2D">
        <w:rPr>
          <w:color w:val="2E2E2E"/>
          <w:sz w:val="20"/>
          <w:szCs w:val="20"/>
          <w:lang w:val="en-US" w:eastAsia="uz-Cyrl-UZ"/>
        </w:rPr>
        <w:t>Rashidov</w:t>
      </w:r>
      <w:proofErr w:type="spellEnd"/>
      <w:r w:rsidRPr="00974B2D">
        <w:rPr>
          <w:color w:val="2E2E2E"/>
          <w:sz w:val="20"/>
          <w:szCs w:val="20"/>
          <w:lang w:val="en-US" w:eastAsia="uz-Cyrl-UZ"/>
        </w:rPr>
        <w:t xml:space="preserve"> </w:t>
      </w:r>
      <w:r w:rsidRPr="000B71A9">
        <w:rPr>
          <w:sz w:val="20"/>
          <w:szCs w:val="20"/>
          <w:lang w:val="en-US"/>
        </w:rPr>
        <w:t>and</w:t>
      </w:r>
      <w:r w:rsidRPr="00974B2D">
        <w:rPr>
          <w:color w:val="2E2E2E"/>
          <w:sz w:val="20"/>
          <w:szCs w:val="20"/>
          <w:lang w:val="en-US" w:eastAsia="uz-Cyrl-UZ"/>
        </w:rPr>
        <w:t xml:space="preserve"> Z.</w:t>
      </w:r>
      <w:r>
        <w:rPr>
          <w:color w:val="2E2E2E"/>
          <w:sz w:val="20"/>
          <w:szCs w:val="20"/>
          <w:lang w:val="en-US" w:eastAsia="uz-Cyrl-UZ"/>
        </w:rPr>
        <w:t xml:space="preserve"> </w:t>
      </w:r>
      <w:r w:rsidRPr="00974B2D">
        <w:rPr>
          <w:color w:val="2E2E2E"/>
          <w:sz w:val="20"/>
          <w:szCs w:val="20"/>
          <w:lang w:val="en-US" w:eastAsia="uz-Cyrl-UZ"/>
        </w:rPr>
        <w:t>X.</w:t>
      </w:r>
      <w:r w:rsidRPr="00974B2D">
        <w:rPr>
          <w:sz w:val="20"/>
          <w:szCs w:val="20"/>
          <w:lang w:val="en-US"/>
        </w:rPr>
        <w:t xml:space="preserve"> </w:t>
      </w:r>
      <w:proofErr w:type="spellStart"/>
      <w:r w:rsidRPr="00974B2D">
        <w:rPr>
          <w:color w:val="2E2E2E"/>
          <w:sz w:val="20"/>
          <w:szCs w:val="20"/>
          <w:lang w:val="en-US" w:eastAsia="uz-Cyrl-UZ"/>
        </w:rPr>
        <w:t>Alimova</w:t>
      </w:r>
      <w:proofErr w:type="spellEnd"/>
      <w:r w:rsidRPr="00974B2D">
        <w:rPr>
          <w:color w:val="2E2E2E"/>
          <w:sz w:val="20"/>
          <w:szCs w:val="20"/>
          <w:lang w:val="en-US" w:eastAsia="uz-Cyrl-UZ"/>
        </w:rPr>
        <w:t xml:space="preserve">, </w:t>
      </w:r>
      <w:r w:rsidR="00DD17E7">
        <w:rPr>
          <w:color w:val="2E2E2E"/>
          <w:sz w:val="20"/>
          <w:szCs w:val="20"/>
          <w:lang w:val="en-US" w:eastAsia="uz-Cyrl-UZ"/>
        </w:rPr>
        <w:t>“</w:t>
      </w:r>
      <w:hyperlink r:id="rId20" w:history="1">
        <w:r w:rsidRPr="00974B2D">
          <w:rPr>
            <w:rStyle w:val="typography-modulelvnit"/>
            <w:color w:val="2E2E2E"/>
            <w:sz w:val="20"/>
            <w:szCs w:val="20"/>
            <w:shd w:val="clear" w:color="auto" w:fill="FFFFFF"/>
            <w:lang w:val="en-US"/>
          </w:rPr>
          <w:t>Substantiation of the results of uneven leveling of heaps on the dryer conveyor</w:t>
        </w:r>
      </w:hyperlink>
      <w:r w:rsidR="00DD17E7">
        <w:rPr>
          <w:rStyle w:val="typography-modulelvnit"/>
          <w:color w:val="2E2E2E"/>
          <w:sz w:val="20"/>
          <w:szCs w:val="20"/>
          <w:shd w:val="clear" w:color="auto" w:fill="FFFFFF"/>
          <w:lang w:val="en-US"/>
        </w:rPr>
        <w:t>,”</w:t>
      </w:r>
      <w:r w:rsidRPr="00F05FDC">
        <w:rPr>
          <w:rStyle w:val="ad"/>
          <w:sz w:val="20"/>
          <w:szCs w:val="20"/>
          <w:lang w:val="en-US"/>
        </w:rPr>
        <w:t xml:space="preserve"> E3S Web Conf. </w:t>
      </w:r>
      <w:r w:rsidRPr="00F05FDC">
        <w:rPr>
          <w:rStyle w:val="ad"/>
          <w:i w:val="0"/>
          <w:iCs w:val="0"/>
          <w:sz w:val="20"/>
          <w:szCs w:val="20"/>
          <w:lang w:val="en-US"/>
        </w:rPr>
        <w:t>494, 04048 (2024)</w:t>
      </w:r>
    </w:p>
    <w:p w14:paraId="7A017175" w14:textId="57918B20" w:rsidR="000B71A9" w:rsidRPr="000B71A9" w:rsidRDefault="000B71A9" w:rsidP="000B71A9">
      <w:pPr>
        <w:pStyle w:val="ab"/>
        <w:numPr>
          <w:ilvl w:val="0"/>
          <w:numId w:val="6"/>
        </w:numPr>
        <w:spacing w:before="0" w:beforeAutospacing="0" w:after="0" w:afterAutospacing="0"/>
        <w:ind w:left="425" w:hanging="425"/>
        <w:jc w:val="both"/>
        <w:rPr>
          <w:sz w:val="20"/>
          <w:szCs w:val="20"/>
          <w:lang w:val="en-US"/>
        </w:rPr>
      </w:pPr>
      <w:r w:rsidRPr="000B71A9">
        <w:rPr>
          <w:sz w:val="20"/>
          <w:szCs w:val="20"/>
          <w:lang w:val="en-US"/>
        </w:rPr>
        <w:t xml:space="preserve">C. M. White, R. R. Steeper, and A. E. Lutz, “The hydrogen-fueled internal combustion engine: a technical review,” </w:t>
      </w:r>
      <w:r w:rsidRPr="000B71A9">
        <w:rPr>
          <w:rStyle w:val="ad"/>
          <w:sz w:val="20"/>
          <w:szCs w:val="20"/>
          <w:lang w:val="en-US"/>
        </w:rPr>
        <w:t>Int. J. Hydrogen Energy</w:t>
      </w:r>
      <w:r w:rsidRPr="000B71A9">
        <w:rPr>
          <w:sz w:val="20"/>
          <w:szCs w:val="20"/>
          <w:lang w:val="en-US"/>
        </w:rPr>
        <w:t xml:space="preserve"> </w:t>
      </w:r>
      <w:r w:rsidRPr="000B71A9">
        <w:rPr>
          <w:rStyle w:val="ae"/>
          <w:sz w:val="20"/>
          <w:szCs w:val="20"/>
          <w:lang w:val="en-US"/>
        </w:rPr>
        <w:t>31</w:t>
      </w:r>
      <w:r w:rsidRPr="000B71A9">
        <w:rPr>
          <w:sz w:val="20"/>
          <w:szCs w:val="20"/>
          <w:lang w:val="en-US"/>
        </w:rPr>
        <w:t xml:space="preserve">(10), 1292–1305 (2006), </w:t>
      </w:r>
      <w:hyperlink r:id="rId21" w:tgtFrame="_new" w:history="1">
        <w:r w:rsidRPr="000B71A9">
          <w:rPr>
            <w:rStyle w:val="a7"/>
            <w:sz w:val="20"/>
            <w:szCs w:val="20"/>
            <w:lang w:val="en-US"/>
          </w:rPr>
          <w:t>https://doi.org/10.1016/j.ijhydene.2005.12.001</w:t>
        </w:r>
      </w:hyperlink>
      <w:r w:rsidRPr="000B71A9">
        <w:rPr>
          <w:sz w:val="20"/>
          <w:szCs w:val="20"/>
          <w:lang w:val="en-US"/>
        </w:rPr>
        <w:t>.</w:t>
      </w:r>
    </w:p>
    <w:p w14:paraId="246AA0B9" w14:textId="05932DAF" w:rsidR="000B71A9" w:rsidRPr="000B71A9" w:rsidRDefault="000B71A9" w:rsidP="000B71A9">
      <w:pPr>
        <w:pStyle w:val="ab"/>
        <w:numPr>
          <w:ilvl w:val="0"/>
          <w:numId w:val="6"/>
        </w:numPr>
        <w:spacing w:before="0" w:beforeAutospacing="0" w:after="0" w:afterAutospacing="0"/>
        <w:ind w:left="425" w:hanging="425"/>
        <w:jc w:val="both"/>
        <w:rPr>
          <w:sz w:val="20"/>
          <w:szCs w:val="20"/>
          <w:lang w:val="en-US"/>
        </w:rPr>
      </w:pPr>
      <w:r w:rsidRPr="000B71A9">
        <w:rPr>
          <w:sz w:val="20"/>
          <w:szCs w:val="20"/>
          <w:lang w:val="en-US"/>
        </w:rPr>
        <w:t xml:space="preserve">J. B. Heywood, </w:t>
      </w:r>
      <w:r w:rsidRPr="000B71A9">
        <w:rPr>
          <w:rStyle w:val="ad"/>
          <w:sz w:val="20"/>
          <w:szCs w:val="20"/>
          <w:lang w:val="en-US"/>
        </w:rPr>
        <w:t>Internal Combustion Engine Fundamentals</w:t>
      </w:r>
      <w:r w:rsidRPr="000B71A9">
        <w:rPr>
          <w:sz w:val="20"/>
          <w:szCs w:val="20"/>
          <w:lang w:val="en-US"/>
        </w:rPr>
        <w:t>, 2nd ed. (McGraw-Hill, New York, 2018), 1056 p.</w:t>
      </w:r>
    </w:p>
    <w:p w14:paraId="29A4AAF5" w14:textId="7A4C4AFE" w:rsidR="000B71A9" w:rsidRPr="000B71A9" w:rsidRDefault="000B71A9" w:rsidP="000B71A9">
      <w:pPr>
        <w:pStyle w:val="ab"/>
        <w:numPr>
          <w:ilvl w:val="0"/>
          <w:numId w:val="6"/>
        </w:numPr>
        <w:spacing w:before="0" w:beforeAutospacing="0" w:after="0" w:afterAutospacing="0"/>
        <w:ind w:left="425" w:hanging="425"/>
        <w:jc w:val="both"/>
        <w:rPr>
          <w:sz w:val="20"/>
          <w:szCs w:val="20"/>
          <w:lang w:val="en-US"/>
        </w:rPr>
      </w:pPr>
      <w:r w:rsidRPr="000B71A9">
        <w:rPr>
          <w:sz w:val="20"/>
          <w:szCs w:val="20"/>
          <w:lang w:val="en-US"/>
        </w:rPr>
        <w:t xml:space="preserve">H. Guo, S. Zhou, J. Zou, and M. </w:t>
      </w:r>
      <w:proofErr w:type="spellStart"/>
      <w:r w:rsidRPr="000B71A9">
        <w:rPr>
          <w:sz w:val="20"/>
          <w:szCs w:val="20"/>
          <w:lang w:val="en-US"/>
        </w:rPr>
        <w:t>Shreka</w:t>
      </w:r>
      <w:proofErr w:type="spellEnd"/>
      <w:r w:rsidRPr="000B71A9">
        <w:rPr>
          <w:sz w:val="20"/>
          <w:szCs w:val="20"/>
          <w:lang w:val="en-US"/>
        </w:rPr>
        <w:t xml:space="preserve">, “A numerical investigation on de-NOₓ technology and abnormal combustion control for a hydrogen engine with EGR system,” </w:t>
      </w:r>
      <w:r w:rsidRPr="000B71A9">
        <w:rPr>
          <w:rStyle w:val="ad"/>
          <w:sz w:val="20"/>
          <w:szCs w:val="20"/>
          <w:lang w:val="en-US"/>
        </w:rPr>
        <w:t>Processes</w:t>
      </w:r>
      <w:r w:rsidRPr="000B71A9">
        <w:rPr>
          <w:sz w:val="20"/>
          <w:szCs w:val="20"/>
          <w:lang w:val="en-US"/>
        </w:rPr>
        <w:t xml:space="preserve"> </w:t>
      </w:r>
      <w:r w:rsidRPr="000B71A9">
        <w:rPr>
          <w:rStyle w:val="ae"/>
          <w:sz w:val="20"/>
          <w:szCs w:val="20"/>
          <w:lang w:val="en-US"/>
        </w:rPr>
        <w:t>8</w:t>
      </w:r>
      <w:r w:rsidRPr="000B71A9">
        <w:rPr>
          <w:sz w:val="20"/>
          <w:szCs w:val="20"/>
          <w:lang w:val="en-US"/>
        </w:rPr>
        <w:t xml:space="preserve">(9), 1178 (2020), </w:t>
      </w:r>
      <w:hyperlink r:id="rId22" w:tgtFrame="_new" w:history="1">
        <w:r w:rsidRPr="000B71A9">
          <w:rPr>
            <w:rStyle w:val="a7"/>
            <w:sz w:val="20"/>
            <w:szCs w:val="20"/>
            <w:lang w:val="en-US"/>
          </w:rPr>
          <w:t>https://doi.org/10.3390/pr8091178</w:t>
        </w:r>
      </w:hyperlink>
      <w:r w:rsidRPr="000B71A9">
        <w:rPr>
          <w:sz w:val="20"/>
          <w:szCs w:val="20"/>
          <w:lang w:val="en-US"/>
        </w:rPr>
        <w:t>.</w:t>
      </w:r>
    </w:p>
    <w:p w14:paraId="6E502500" w14:textId="263D276B" w:rsidR="00CA1C78" w:rsidRPr="00CA1C78" w:rsidRDefault="00CA1C78" w:rsidP="000B71A9">
      <w:pPr>
        <w:pStyle w:val="ab"/>
        <w:numPr>
          <w:ilvl w:val="0"/>
          <w:numId w:val="6"/>
        </w:numPr>
        <w:spacing w:before="0" w:beforeAutospacing="0" w:after="0" w:afterAutospacing="0"/>
        <w:ind w:left="425" w:hanging="425"/>
        <w:jc w:val="both"/>
        <w:rPr>
          <w:sz w:val="20"/>
          <w:szCs w:val="20"/>
          <w:lang w:val="en-US"/>
        </w:rPr>
      </w:pPr>
      <w:r w:rsidRPr="00CA1C78">
        <w:rPr>
          <w:color w:val="222222"/>
          <w:sz w:val="20"/>
          <w:szCs w:val="20"/>
          <w:shd w:val="clear" w:color="auto" w:fill="FFFFFF"/>
          <w:lang w:val="en-US"/>
        </w:rPr>
        <w:t xml:space="preserve">Shahid, M. I., Rao, A., Farhan, M., Liu, Y., Salam, H. A., Chen, T., &amp; Ma, F. (2024). </w:t>
      </w:r>
      <w:r w:rsidR="00DD17E7">
        <w:rPr>
          <w:color w:val="222222"/>
          <w:sz w:val="20"/>
          <w:szCs w:val="20"/>
          <w:shd w:val="clear" w:color="auto" w:fill="FFFFFF"/>
          <w:lang w:val="en-US"/>
        </w:rPr>
        <w:t>“</w:t>
      </w:r>
      <w:r w:rsidRPr="00CA1C78">
        <w:rPr>
          <w:color w:val="222222"/>
          <w:sz w:val="20"/>
          <w:szCs w:val="20"/>
          <w:shd w:val="clear" w:color="auto" w:fill="FFFFFF"/>
          <w:lang w:val="en-US"/>
        </w:rPr>
        <w:t>Hydrogen production techniques and use of hydrogen in internal combustion engine</w:t>
      </w:r>
      <w:r w:rsidR="00DD17E7">
        <w:rPr>
          <w:color w:val="222222"/>
          <w:sz w:val="20"/>
          <w:szCs w:val="20"/>
          <w:shd w:val="clear" w:color="auto" w:fill="FFFFFF"/>
          <w:lang w:val="en-US"/>
        </w:rPr>
        <w:t>,”</w:t>
      </w:r>
      <w:r w:rsidR="00DD17E7" w:rsidRPr="00DD17E7">
        <w:rPr>
          <w:i/>
          <w:iCs/>
          <w:color w:val="222222"/>
          <w:sz w:val="20"/>
          <w:szCs w:val="20"/>
          <w:shd w:val="clear" w:color="auto" w:fill="FFFFFF"/>
          <w:lang w:val="en-US"/>
        </w:rPr>
        <w:t xml:space="preserve"> </w:t>
      </w:r>
      <w:r w:rsidRPr="00DD17E7">
        <w:rPr>
          <w:i/>
          <w:iCs/>
          <w:color w:val="222222"/>
          <w:sz w:val="20"/>
          <w:szCs w:val="20"/>
          <w:shd w:val="clear" w:color="auto" w:fill="FFFFFF"/>
          <w:lang w:val="en-US"/>
        </w:rPr>
        <w:t>Fuel</w:t>
      </w:r>
      <w:r w:rsidRPr="00DD17E7">
        <w:rPr>
          <w:color w:val="222222"/>
          <w:sz w:val="20"/>
          <w:szCs w:val="20"/>
          <w:shd w:val="clear" w:color="auto" w:fill="FFFFFF"/>
          <w:lang w:val="en-US"/>
        </w:rPr>
        <w:t>, </w:t>
      </w:r>
      <w:r w:rsidRPr="00DD17E7">
        <w:rPr>
          <w:i/>
          <w:iCs/>
          <w:color w:val="222222"/>
          <w:sz w:val="20"/>
          <w:szCs w:val="20"/>
          <w:shd w:val="clear" w:color="auto" w:fill="FFFFFF"/>
          <w:lang w:val="en-US"/>
        </w:rPr>
        <w:t>378</w:t>
      </w:r>
      <w:r w:rsidRPr="00DD17E7">
        <w:rPr>
          <w:color w:val="222222"/>
          <w:sz w:val="20"/>
          <w:szCs w:val="20"/>
          <w:shd w:val="clear" w:color="auto" w:fill="FFFFFF"/>
          <w:lang w:val="en-US"/>
        </w:rPr>
        <w:t>, 132769.</w:t>
      </w:r>
    </w:p>
    <w:p w14:paraId="6833244D" w14:textId="10104D67" w:rsidR="00825D4E" w:rsidRDefault="00825D4E" w:rsidP="000B71A9">
      <w:pPr>
        <w:pStyle w:val="ab"/>
        <w:numPr>
          <w:ilvl w:val="0"/>
          <w:numId w:val="6"/>
        </w:numPr>
        <w:spacing w:before="0" w:beforeAutospacing="0" w:after="0" w:afterAutospacing="0"/>
        <w:ind w:left="425" w:hanging="425"/>
        <w:jc w:val="both"/>
        <w:rPr>
          <w:sz w:val="20"/>
          <w:szCs w:val="20"/>
          <w:lang w:val="en-US"/>
        </w:rPr>
      </w:pPr>
      <w:r w:rsidRPr="00176B46">
        <w:rPr>
          <w:rStyle w:val="typography-modulelvnit"/>
          <w:color w:val="2E2E2E"/>
          <w:sz w:val="20"/>
          <w:szCs w:val="20"/>
          <w:lang w:val="en-US"/>
        </w:rPr>
        <w:t>K.</w:t>
      </w:r>
      <w:r>
        <w:rPr>
          <w:rStyle w:val="typography-modulelvnit"/>
          <w:color w:val="2E2E2E"/>
          <w:sz w:val="20"/>
          <w:szCs w:val="20"/>
          <w:lang w:val="en-US"/>
        </w:rPr>
        <w:t xml:space="preserve"> </w:t>
      </w:r>
      <w:r w:rsidRPr="00176B46">
        <w:rPr>
          <w:rStyle w:val="typography-modulelvnit"/>
          <w:color w:val="2E2E2E"/>
          <w:sz w:val="20"/>
          <w:szCs w:val="20"/>
          <w:lang w:val="en-US"/>
        </w:rPr>
        <w:t>I.</w:t>
      </w:r>
      <w:r>
        <w:rPr>
          <w:rStyle w:val="typography-modulelvnit"/>
          <w:color w:val="2E2E2E"/>
          <w:sz w:val="20"/>
          <w:szCs w:val="20"/>
          <w:lang w:val="en-US"/>
        </w:rPr>
        <w:t xml:space="preserve"> </w:t>
      </w:r>
      <w:r w:rsidRPr="00176B46">
        <w:rPr>
          <w:rStyle w:val="typography-modulelvnit"/>
          <w:color w:val="2E2E2E"/>
          <w:sz w:val="20"/>
          <w:szCs w:val="20"/>
          <w:lang w:val="en-US"/>
        </w:rPr>
        <w:t>Ibrahimov</w:t>
      </w:r>
      <w:r w:rsidRPr="00176B46">
        <w:rPr>
          <w:rStyle w:val="authors-moduleumr1o"/>
          <w:color w:val="2E2E2E"/>
          <w:sz w:val="20"/>
          <w:szCs w:val="20"/>
          <w:lang w:val="en-US"/>
        </w:rPr>
        <w:t xml:space="preserve">, </w:t>
      </w:r>
      <w:r w:rsidRPr="00176B46">
        <w:rPr>
          <w:rStyle w:val="typography-modulelvnit"/>
          <w:color w:val="2E2E2E"/>
          <w:sz w:val="20"/>
          <w:szCs w:val="20"/>
          <w:lang w:val="en-US"/>
        </w:rPr>
        <w:t>Z.</w:t>
      </w:r>
      <w:r>
        <w:rPr>
          <w:rStyle w:val="typography-modulelvnit"/>
          <w:color w:val="2E2E2E"/>
          <w:sz w:val="20"/>
          <w:szCs w:val="20"/>
          <w:lang w:val="en-US"/>
        </w:rPr>
        <w:t xml:space="preserve"> </w:t>
      </w:r>
      <w:proofErr w:type="spellStart"/>
      <w:r w:rsidRPr="00176B46">
        <w:rPr>
          <w:rStyle w:val="typography-modulelvnit"/>
          <w:color w:val="2E2E2E"/>
          <w:sz w:val="20"/>
          <w:szCs w:val="20"/>
          <w:lang w:val="en-US"/>
        </w:rPr>
        <w:t>Kh</w:t>
      </w:r>
      <w:proofErr w:type="spellEnd"/>
      <w:r w:rsidRPr="00176B46">
        <w:rPr>
          <w:rStyle w:val="typography-modulelvnit"/>
          <w:color w:val="2E2E2E"/>
          <w:sz w:val="20"/>
          <w:szCs w:val="20"/>
          <w:lang w:val="en-US"/>
        </w:rPr>
        <w:t>.</w:t>
      </w:r>
      <w:r>
        <w:rPr>
          <w:rStyle w:val="typography-modulelvnit"/>
          <w:color w:val="2E2E2E"/>
          <w:sz w:val="20"/>
          <w:szCs w:val="20"/>
          <w:lang w:val="en-US"/>
        </w:rPr>
        <w:t xml:space="preserve"> </w:t>
      </w:r>
      <w:proofErr w:type="spellStart"/>
      <w:r w:rsidRPr="00176B46">
        <w:rPr>
          <w:rStyle w:val="typography-modulelvnit"/>
          <w:color w:val="2E2E2E"/>
          <w:sz w:val="20"/>
          <w:szCs w:val="20"/>
          <w:lang w:val="en-US"/>
        </w:rPr>
        <w:t>Alimova</w:t>
      </w:r>
      <w:proofErr w:type="spellEnd"/>
      <w:r w:rsidRPr="00176B46">
        <w:rPr>
          <w:rStyle w:val="typography-modulelvnit"/>
          <w:color w:val="2E2E2E"/>
          <w:sz w:val="20"/>
          <w:szCs w:val="20"/>
          <w:lang w:val="en-US"/>
        </w:rPr>
        <w:t>, B.</w:t>
      </w:r>
      <w:r>
        <w:rPr>
          <w:rStyle w:val="typography-modulelvnit"/>
          <w:color w:val="2E2E2E"/>
          <w:sz w:val="20"/>
          <w:szCs w:val="20"/>
          <w:lang w:val="en-US"/>
        </w:rPr>
        <w:t xml:space="preserve"> </w:t>
      </w:r>
      <w:r w:rsidRPr="00176B46">
        <w:rPr>
          <w:rStyle w:val="typography-modulelvnit"/>
          <w:color w:val="2E2E2E"/>
          <w:sz w:val="20"/>
          <w:szCs w:val="20"/>
          <w:lang w:val="en-US"/>
        </w:rPr>
        <w:t>H.</w:t>
      </w:r>
      <w:r>
        <w:rPr>
          <w:rStyle w:val="typography-modulelvnit"/>
          <w:color w:val="2E2E2E"/>
          <w:sz w:val="20"/>
          <w:szCs w:val="20"/>
          <w:lang w:val="en-US"/>
        </w:rPr>
        <w:t xml:space="preserve"> </w:t>
      </w:r>
      <w:proofErr w:type="spellStart"/>
      <w:r w:rsidRPr="00176B46">
        <w:rPr>
          <w:rStyle w:val="typography-modulelvnit"/>
          <w:color w:val="2E2E2E"/>
          <w:sz w:val="20"/>
          <w:szCs w:val="20"/>
          <w:lang w:val="en-US"/>
        </w:rPr>
        <w:t>Turakulov</w:t>
      </w:r>
      <w:proofErr w:type="spellEnd"/>
      <w:r w:rsidRPr="00825D4E">
        <w:rPr>
          <w:sz w:val="20"/>
          <w:szCs w:val="20"/>
          <w:lang w:val="en-US"/>
        </w:rPr>
        <w:t xml:space="preserve"> </w:t>
      </w:r>
      <w:r w:rsidRPr="000B71A9">
        <w:rPr>
          <w:sz w:val="20"/>
          <w:szCs w:val="20"/>
          <w:lang w:val="en-US"/>
        </w:rPr>
        <w:t>and</w:t>
      </w:r>
      <w:r w:rsidRPr="00176B46">
        <w:rPr>
          <w:rStyle w:val="typography-modulelvnit"/>
          <w:color w:val="2E2E2E"/>
          <w:sz w:val="20"/>
          <w:szCs w:val="20"/>
          <w:lang w:val="en-US"/>
        </w:rPr>
        <w:t xml:space="preserve"> N.</w:t>
      </w:r>
      <w:r>
        <w:rPr>
          <w:rStyle w:val="typography-modulelvnit"/>
          <w:color w:val="2E2E2E"/>
          <w:sz w:val="20"/>
          <w:szCs w:val="20"/>
          <w:lang w:val="en-US"/>
        </w:rPr>
        <w:t xml:space="preserve"> </w:t>
      </w:r>
      <w:r w:rsidRPr="00176B46">
        <w:rPr>
          <w:rStyle w:val="typography-modulelvnit"/>
          <w:color w:val="2E2E2E"/>
          <w:sz w:val="20"/>
          <w:szCs w:val="20"/>
          <w:lang w:val="en-US"/>
        </w:rPr>
        <w:t>B.</w:t>
      </w:r>
      <w:r>
        <w:rPr>
          <w:rStyle w:val="typography-modulelvnit"/>
          <w:color w:val="2E2E2E"/>
          <w:sz w:val="20"/>
          <w:szCs w:val="20"/>
          <w:lang w:val="en-US"/>
        </w:rPr>
        <w:t xml:space="preserve"> </w:t>
      </w:r>
      <w:proofErr w:type="spellStart"/>
      <w:r w:rsidRPr="00176B46">
        <w:rPr>
          <w:rStyle w:val="typography-modulelvnit"/>
          <w:color w:val="2E2E2E"/>
          <w:sz w:val="20"/>
          <w:szCs w:val="20"/>
          <w:lang w:val="en-US"/>
        </w:rPr>
        <w:t>Khalmurzaev</w:t>
      </w:r>
      <w:proofErr w:type="spellEnd"/>
      <w:r w:rsidRPr="00176B46">
        <w:rPr>
          <w:rStyle w:val="typography-modulelvnit"/>
          <w:color w:val="2E2E2E"/>
          <w:sz w:val="20"/>
          <w:szCs w:val="20"/>
          <w:lang w:val="en-US"/>
        </w:rPr>
        <w:t>,</w:t>
      </w:r>
      <w:r>
        <w:rPr>
          <w:rStyle w:val="typography-modulelvnit"/>
          <w:color w:val="2E2E2E"/>
          <w:sz w:val="20"/>
          <w:szCs w:val="20"/>
          <w:lang w:val="en-US"/>
        </w:rPr>
        <w:t xml:space="preserve"> </w:t>
      </w:r>
      <w:r w:rsidR="00DD17E7">
        <w:rPr>
          <w:rStyle w:val="typography-modulelvnit"/>
          <w:color w:val="2E2E2E"/>
          <w:sz w:val="20"/>
          <w:szCs w:val="20"/>
          <w:lang w:val="en-US"/>
        </w:rPr>
        <w:t>“</w:t>
      </w:r>
      <w:hyperlink r:id="rId23" w:history="1">
        <w:r w:rsidRPr="00176B46">
          <w:rPr>
            <w:rStyle w:val="typography-modulelvnit"/>
            <w:color w:val="2E2E2E"/>
            <w:sz w:val="20"/>
            <w:szCs w:val="20"/>
            <w:lang w:val="en-US"/>
          </w:rPr>
          <w:t>Investigation of performance indicators of filtration materials used for air purification</w:t>
        </w:r>
      </w:hyperlink>
      <w:r>
        <w:rPr>
          <w:color w:val="505050"/>
          <w:sz w:val="20"/>
          <w:szCs w:val="20"/>
          <w:lang w:val="en-US"/>
        </w:rPr>
        <w:t>,</w:t>
      </w:r>
      <w:r w:rsidR="00DD17E7">
        <w:rPr>
          <w:color w:val="505050"/>
          <w:sz w:val="20"/>
          <w:szCs w:val="20"/>
          <w:lang w:val="en-US"/>
        </w:rPr>
        <w:t>”</w:t>
      </w:r>
      <w:r w:rsidRPr="00176B46">
        <w:rPr>
          <w:rStyle w:val="ad"/>
          <w:sz w:val="20"/>
          <w:szCs w:val="20"/>
          <w:lang w:val="en-US"/>
        </w:rPr>
        <w:t xml:space="preserve"> AIP Conf. Proc.</w:t>
      </w:r>
      <w:r w:rsidRPr="00176B46">
        <w:rPr>
          <w:sz w:val="20"/>
          <w:szCs w:val="20"/>
          <w:lang w:val="en-US"/>
        </w:rPr>
        <w:t xml:space="preserve"> 3304 (1),</w:t>
      </w:r>
      <w:r w:rsidRPr="00176B46">
        <w:rPr>
          <w:rStyle w:val="typography-modulelvnit"/>
          <w:color w:val="2E2E2E"/>
          <w:sz w:val="20"/>
          <w:szCs w:val="20"/>
          <w:shd w:val="clear" w:color="auto" w:fill="FFFFFF"/>
          <w:lang w:val="en-US"/>
        </w:rPr>
        <w:t xml:space="preserve"> 030058</w:t>
      </w:r>
      <w:r w:rsidRPr="00176B46">
        <w:rPr>
          <w:sz w:val="20"/>
          <w:szCs w:val="20"/>
          <w:lang w:val="en-US"/>
        </w:rPr>
        <w:t>(2025).</w:t>
      </w:r>
    </w:p>
    <w:p w14:paraId="24C832AB" w14:textId="1441F2B2" w:rsidR="00CA1C78" w:rsidRPr="00CA1C78" w:rsidRDefault="00CA1C78" w:rsidP="000B71A9">
      <w:pPr>
        <w:pStyle w:val="ab"/>
        <w:numPr>
          <w:ilvl w:val="0"/>
          <w:numId w:val="6"/>
        </w:numPr>
        <w:spacing w:before="0" w:beforeAutospacing="0" w:after="0" w:afterAutospacing="0"/>
        <w:ind w:left="425" w:hanging="425"/>
        <w:jc w:val="both"/>
        <w:rPr>
          <w:sz w:val="20"/>
          <w:szCs w:val="20"/>
          <w:lang w:val="en-US"/>
        </w:rPr>
      </w:pPr>
      <w:r w:rsidRPr="00CA1C78">
        <w:rPr>
          <w:color w:val="222222"/>
          <w:sz w:val="20"/>
          <w:szCs w:val="20"/>
          <w:shd w:val="clear" w:color="auto" w:fill="FFFFFF"/>
          <w:lang w:val="en-US"/>
        </w:rPr>
        <w:t xml:space="preserve">Kumar, V., Gupta, D., &amp; Kumar, N. (2015). </w:t>
      </w:r>
      <w:r w:rsidR="00DD17E7">
        <w:rPr>
          <w:color w:val="222222"/>
          <w:sz w:val="20"/>
          <w:szCs w:val="20"/>
          <w:shd w:val="clear" w:color="auto" w:fill="FFFFFF"/>
          <w:lang w:val="en-US"/>
        </w:rPr>
        <w:t>“</w:t>
      </w:r>
      <w:r w:rsidRPr="00CA1C78">
        <w:rPr>
          <w:color w:val="222222"/>
          <w:sz w:val="20"/>
          <w:szCs w:val="20"/>
          <w:shd w:val="clear" w:color="auto" w:fill="FFFFFF"/>
          <w:lang w:val="en-US"/>
        </w:rPr>
        <w:t>Hydrogen use in internal combustion engine</w:t>
      </w:r>
      <w:r w:rsidR="00DD17E7">
        <w:rPr>
          <w:color w:val="222222"/>
          <w:sz w:val="20"/>
          <w:szCs w:val="20"/>
          <w:shd w:val="clear" w:color="auto" w:fill="FFFFFF"/>
          <w:lang w:val="en-US"/>
        </w:rPr>
        <w:t>”,</w:t>
      </w:r>
      <w:r w:rsidRPr="00CA1C78">
        <w:rPr>
          <w:color w:val="222222"/>
          <w:sz w:val="20"/>
          <w:szCs w:val="20"/>
          <w:shd w:val="clear" w:color="auto" w:fill="FFFFFF"/>
          <w:lang w:val="en-US"/>
        </w:rPr>
        <w:t> </w:t>
      </w:r>
      <w:r w:rsidRPr="00CA1C78">
        <w:rPr>
          <w:i/>
          <w:iCs/>
          <w:color w:val="222222"/>
          <w:sz w:val="20"/>
          <w:szCs w:val="20"/>
          <w:shd w:val="clear" w:color="auto" w:fill="FFFFFF"/>
          <w:lang w:val="en-US"/>
        </w:rPr>
        <w:t>The International Journal of Advanced Culture Technology</w:t>
      </w:r>
      <w:r w:rsidRPr="00CA1C78">
        <w:rPr>
          <w:color w:val="222222"/>
          <w:sz w:val="20"/>
          <w:szCs w:val="20"/>
          <w:shd w:val="clear" w:color="auto" w:fill="FFFFFF"/>
          <w:lang w:val="en-US"/>
        </w:rPr>
        <w:t>, </w:t>
      </w:r>
      <w:r w:rsidRPr="00CA1C78">
        <w:rPr>
          <w:i/>
          <w:iCs/>
          <w:color w:val="222222"/>
          <w:sz w:val="20"/>
          <w:szCs w:val="20"/>
          <w:shd w:val="clear" w:color="auto" w:fill="FFFFFF"/>
          <w:lang w:val="en-US"/>
        </w:rPr>
        <w:t>3</w:t>
      </w:r>
      <w:r w:rsidRPr="00CA1C78">
        <w:rPr>
          <w:color w:val="222222"/>
          <w:sz w:val="20"/>
          <w:szCs w:val="20"/>
          <w:shd w:val="clear" w:color="auto" w:fill="FFFFFF"/>
          <w:lang w:val="en-US"/>
        </w:rPr>
        <w:t>(2), 87-99.</w:t>
      </w:r>
    </w:p>
    <w:p w14:paraId="11564D39" w14:textId="6B7C90B4" w:rsidR="000B71A9" w:rsidRPr="000B71A9" w:rsidRDefault="000B71A9" w:rsidP="000B71A9">
      <w:pPr>
        <w:pStyle w:val="ab"/>
        <w:numPr>
          <w:ilvl w:val="0"/>
          <w:numId w:val="6"/>
        </w:numPr>
        <w:spacing w:before="0" w:beforeAutospacing="0" w:after="0" w:afterAutospacing="0"/>
        <w:ind w:left="425" w:hanging="425"/>
        <w:jc w:val="both"/>
        <w:rPr>
          <w:sz w:val="20"/>
          <w:szCs w:val="20"/>
          <w:lang w:val="en-US"/>
        </w:rPr>
      </w:pPr>
      <w:r w:rsidRPr="000B71A9">
        <w:rPr>
          <w:sz w:val="20"/>
          <w:szCs w:val="20"/>
          <w:lang w:val="en-US"/>
        </w:rPr>
        <w:t xml:space="preserve">A. </w:t>
      </w:r>
      <w:proofErr w:type="spellStart"/>
      <w:r w:rsidRPr="000B71A9">
        <w:rPr>
          <w:sz w:val="20"/>
          <w:szCs w:val="20"/>
          <w:lang w:val="en-US"/>
        </w:rPr>
        <w:t>Mukhitdinov</w:t>
      </w:r>
      <w:proofErr w:type="spellEnd"/>
      <w:r w:rsidRPr="000B71A9">
        <w:rPr>
          <w:sz w:val="20"/>
          <w:szCs w:val="20"/>
          <w:lang w:val="en-US"/>
        </w:rPr>
        <w:t xml:space="preserve">, U. </w:t>
      </w:r>
      <w:proofErr w:type="spellStart"/>
      <w:r w:rsidRPr="000B71A9">
        <w:rPr>
          <w:sz w:val="20"/>
          <w:szCs w:val="20"/>
          <w:lang w:val="en-US"/>
        </w:rPr>
        <w:t>Abdurazzokov</w:t>
      </w:r>
      <w:proofErr w:type="spellEnd"/>
      <w:r w:rsidRPr="000B71A9">
        <w:rPr>
          <w:sz w:val="20"/>
          <w:szCs w:val="20"/>
          <w:lang w:val="en-US"/>
        </w:rPr>
        <w:t xml:space="preserve">, K. </w:t>
      </w:r>
      <w:proofErr w:type="spellStart"/>
      <w:r w:rsidRPr="000B71A9">
        <w:rPr>
          <w:sz w:val="20"/>
          <w:szCs w:val="20"/>
          <w:lang w:val="en-US"/>
        </w:rPr>
        <w:t>Ziyaev</w:t>
      </w:r>
      <w:proofErr w:type="spellEnd"/>
      <w:r w:rsidRPr="000B71A9">
        <w:rPr>
          <w:sz w:val="20"/>
          <w:szCs w:val="20"/>
          <w:lang w:val="en-US"/>
        </w:rPr>
        <w:t xml:space="preserve">, and G. </w:t>
      </w:r>
      <w:proofErr w:type="spellStart"/>
      <w:r w:rsidRPr="000B71A9">
        <w:rPr>
          <w:sz w:val="20"/>
          <w:szCs w:val="20"/>
          <w:lang w:val="en-US"/>
        </w:rPr>
        <w:t>Makhmudov</w:t>
      </w:r>
      <w:proofErr w:type="spellEnd"/>
      <w:r w:rsidRPr="000B71A9">
        <w:rPr>
          <w:sz w:val="20"/>
          <w:szCs w:val="20"/>
          <w:lang w:val="en-US"/>
        </w:rPr>
        <w:t xml:space="preserve">, “Method for assessing the vehicle energy efficiency on a driving cycle,” </w:t>
      </w:r>
      <w:r w:rsidRPr="000B71A9">
        <w:rPr>
          <w:rStyle w:val="ad"/>
          <w:sz w:val="20"/>
          <w:szCs w:val="20"/>
          <w:lang w:val="en-US"/>
        </w:rPr>
        <w:t>AIP Conf. Proc.</w:t>
      </w:r>
      <w:r w:rsidRPr="000B71A9">
        <w:rPr>
          <w:sz w:val="20"/>
          <w:szCs w:val="20"/>
          <w:lang w:val="en-US"/>
        </w:rPr>
        <w:t xml:space="preserve"> </w:t>
      </w:r>
      <w:r w:rsidRPr="000B71A9">
        <w:rPr>
          <w:rStyle w:val="ae"/>
          <w:sz w:val="20"/>
          <w:szCs w:val="20"/>
          <w:lang w:val="en-US"/>
        </w:rPr>
        <w:t>060028</w:t>
      </w:r>
      <w:r w:rsidRPr="000B71A9">
        <w:rPr>
          <w:sz w:val="20"/>
          <w:szCs w:val="20"/>
          <w:lang w:val="en-US"/>
        </w:rPr>
        <w:t xml:space="preserve"> (2023), </w:t>
      </w:r>
      <w:hyperlink r:id="rId24" w:tgtFrame="_new" w:history="1">
        <w:r w:rsidRPr="000B71A9">
          <w:rPr>
            <w:rStyle w:val="a7"/>
            <w:sz w:val="20"/>
            <w:szCs w:val="20"/>
            <w:lang w:val="en-US"/>
          </w:rPr>
          <w:t>https://doi.org/10.1063/5.0114531</w:t>
        </w:r>
      </w:hyperlink>
      <w:r w:rsidRPr="000B71A9">
        <w:rPr>
          <w:sz w:val="20"/>
          <w:szCs w:val="20"/>
          <w:lang w:val="en-US"/>
        </w:rPr>
        <w:t>.</w:t>
      </w:r>
    </w:p>
    <w:p w14:paraId="16D305F2" w14:textId="0F751497" w:rsidR="00EB31EB" w:rsidRPr="00EB31EB" w:rsidRDefault="00EB31EB" w:rsidP="00825D4E">
      <w:pPr>
        <w:pStyle w:val="ab"/>
        <w:numPr>
          <w:ilvl w:val="0"/>
          <w:numId w:val="6"/>
        </w:numPr>
        <w:spacing w:before="0" w:beforeAutospacing="0" w:after="0" w:afterAutospacing="0"/>
        <w:ind w:left="426" w:hanging="426"/>
        <w:jc w:val="both"/>
        <w:rPr>
          <w:sz w:val="20"/>
          <w:szCs w:val="20"/>
          <w:lang w:val="en-US"/>
        </w:rPr>
      </w:pPr>
      <w:proofErr w:type="spellStart"/>
      <w:r w:rsidRPr="00EB31EB">
        <w:rPr>
          <w:color w:val="222222"/>
          <w:sz w:val="20"/>
          <w:szCs w:val="20"/>
          <w:shd w:val="clear" w:color="auto" w:fill="FFFFFF"/>
          <w:lang w:val="en-US"/>
        </w:rPr>
        <w:t>Shadidi</w:t>
      </w:r>
      <w:proofErr w:type="spellEnd"/>
      <w:r w:rsidRPr="00EB31EB">
        <w:rPr>
          <w:color w:val="222222"/>
          <w:sz w:val="20"/>
          <w:szCs w:val="20"/>
          <w:shd w:val="clear" w:color="auto" w:fill="FFFFFF"/>
          <w:lang w:val="en-US"/>
        </w:rPr>
        <w:t xml:space="preserve">, B., Najafi, G., &amp; </w:t>
      </w:r>
      <w:proofErr w:type="spellStart"/>
      <w:r w:rsidRPr="00EB31EB">
        <w:rPr>
          <w:color w:val="222222"/>
          <w:sz w:val="20"/>
          <w:szCs w:val="20"/>
          <w:shd w:val="clear" w:color="auto" w:fill="FFFFFF"/>
          <w:lang w:val="en-US"/>
        </w:rPr>
        <w:t>Yusaf</w:t>
      </w:r>
      <w:proofErr w:type="spellEnd"/>
      <w:r w:rsidRPr="00EB31EB">
        <w:rPr>
          <w:color w:val="222222"/>
          <w:sz w:val="20"/>
          <w:szCs w:val="20"/>
          <w:shd w:val="clear" w:color="auto" w:fill="FFFFFF"/>
          <w:lang w:val="en-US"/>
        </w:rPr>
        <w:t xml:space="preserve">, T. (2021). </w:t>
      </w:r>
      <w:r w:rsidR="00DD17E7">
        <w:rPr>
          <w:color w:val="222222"/>
          <w:sz w:val="20"/>
          <w:szCs w:val="20"/>
          <w:shd w:val="clear" w:color="auto" w:fill="FFFFFF"/>
          <w:lang w:val="en-US"/>
        </w:rPr>
        <w:t>“</w:t>
      </w:r>
      <w:r w:rsidRPr="00EB31EB">
        <w:rPr>
          <w:color w:val="222222"/>
          <w:sz w:val="20"/>
          <w:szCs w:val="20"/>
          <w:shd w:val="clear" w:color="auto" w:fill="FFFFFF"/>
          <w:lang w:val="en-US"/>
        </w:rPr>
        <w:t>A review of hydrogen as a fuel in internal combustion engines</w:t>
      </w:r>
      <w:r w:rsidR="00DD17E7">
        <w:rPr>
          <w:color w:val="222222"/>
          <w:sz w:val="20"/>
          <w:szCs w:val="20"/>
          <w:shd w:val="clear" w:color="auto" w:fill="FFFFFF"/>
          <w:lang w:val="en-US"/>
        </w:rPr>
        <w:t>,”</w:t>
      </w:r>
      <w:r w:rsidRPr="00EB31EB">
        <w:rPr>
          <w:color w:val="222222"/>
          <w:sz w:val="20"/>
          <w:szCs w:val="20"/>
          <w:shd w:val="clear" w:color="auto" w:fill="FFFFFF"/>
          <w:lang w:val="en-US"/>
        </w:rPr>
        <w:t> </w:t>
      </w:r>
      <w:r w:rsidRPr="00DD17E7">
        <w:rPr>
          <w:i/>
          <w:iCs/>
          <w:color w:val="222222"/>
          <w:sz w:val="20"/>
          <w:szCs w:val="20"/>
          <w:shd w:val="clear" w:color="auto" w:fill="FFFFFF"/>
          <w:lang w:val="en-US"/>
        </w:rPr>
        <w:t>Energies</w:t>
      </w:r>
      <w:r w:rsidRPr="00DD17E7">
        <w:rPr>
          <w:color w:val="222222"/>
          <w:sz w:val="20"/>
          <w:szCs w:val="20"/>
          <w:shd w:val="clear" w:color="auto" w:fill="FFFFFF"/>
          <w:lang w:val="en-US"/>
        </w:rPr>
        <w:t>, </w:t>
      </w:r>
      <w:r w:rsidRPr="00DD17E7">
        <w:rPr>
          <w:i/>
          <w:iCs/>
          <w:color w:val="222222"/>
          <w:sz w:val="20"/>
          <w:szCs w:val="20"/>
          <w:shd w:val="clear" w:color="auto" w:fill="FFFFFF"/>
          <w:lang w:val="en-US"/>
        </w:rPr>
        <w:t>14</w:t>
      </w:r>
      <w:r w:rsidRPr="00DD17E7">
        <w:rPr>
          <w:color w:val="222222"/>
          <w:sz w:val="20"/>
          <w:szCs w:val="20"/>
          <w:shd w:val="clear" w:color="auto" w:fill="FFFFFF"/>
          <w:lang w:val="en-US"/>
        </w:rPr>
        <w:t>(19), 6209.</w:t>
      </w:r>
    </w:p>
    <w:p w14:paraId="5F5FEDD1" w14:textId="0A4CCB7B" w:rsidR="00CA1C78" w:rsidRPr="00CA1C78" w:rsidRDefault="00CA1C78" w:rsidP="00825D4E">
      <w:pPr>
        <w:pStyle w:val="ab"/>
        <w:numPr>
          <w:ilvl w:val="0"/>
          <w:numId w:val="6"/>
        </w:numPr>
        <w:spacing w:before="0" w:beforeAutospacing="0" w:after="0" w:afterAutospacing="0"/>
        <w:ind w:left="426" w:hanging="426"/>
        <w:jc w:val="both"/>
        <w:rPr>
          <w:sz w:val="20"/>
          <w:szCs w:val="20"/>
          <w:lang w:val="en-US"/>
        </w:rPr>
      </w:pPr>
      <w:r w:rsidRPr="00CA1C78">
        <w:rPr>
          <w:color w:val="222222"/>
          <w:sz w:val="20"/>
          <w:szCs w:val="20"/>
          <w:shd w:val="clear" w:color="auto" w:fill="FFFFFF"/>
          <w:lang w:val="en-US"/>
        </w:rPr>
        <w:t xml:space="preserve">Duan, X., Xu, L., Xu, L., Jiang, P., Gan, T., Liu, H., ... &amp; Sun, Z. (2023). </w:t>
      </w:r>
      <w:r w:rsidR="00DD17E7">
        <w:rPr>
          <w:color w:val="222222"/>
          <w:sz w:val="20"/>
          <w:szCs w:val="20"/>
          <w:shd w:val="clear" w:color="auto" w:fill="FFFFFF"/>
          <w:lang w:val="en-US"/>
        </w:rPr>
        <w:t>“</w:t>
      </w:r>
      <w:r w:rsidRPr="00CA1C78">
        <w:rPr>
          <w:color w:val="222222"/>
          <w:sz w:val="20"/>
          <w:szCs w:val="20"/>
          <w:shd w:val="clear" w:color="auto" w:fill="FFFFFF"/>
          <w:lang w:val="en-US"/>
        </w:rPr>
        <w:t xml:space="preserve">Performance analysis and comparison of the spark ignition engine </w:t>
      </w:r>
      <w:proofErr w:type="spellStart"/>
      <w:r w:rsidRPr="00CA1C78">
        <w:rPr>
          <w:color w:val="222222"/>
          <w:sz w:val="20"/>
          <w:szCs w:val="20"/>
          <w:shd w:val="clear" w:color="auto" w:fill="FFFFFF"/>
          <w:lang w:val="en-US"/>
        </w:rPr>
        <w:t>fuelled</w:t>
      </w:r>
      <w:proofErr w:type="spellEnd"/>
      <w:r w:rsidRPr="00CA1C78">
        <w:rPr>
          <w:color w:val="222222"/>
          <w:sz w:val="20"/>
          <w:szCs w:val="20"/>
          <w:shd w:val="clear" w:color="auto" w:fill="FFFFFF"/>
          <w:lang w:val="en-US"/>
        </w:rPr>
        <w:t xml:space="preserve"> with industrial by-product hydrogen and gasoline</w:t>
      </w:r>
      <w:r w:rsidR="00DD17E7">
        <w:rPr>
          <w:color w:val="222222"/>
          <w:sz w:val="20"/>
          <w:szCs w:val="20"/>
          <w:shd w:val="clear" w:color="auto" w:fill="FFFFFF"/>
          <w:lang w:val="en-US"/>
        </w:rPr>
        <w:t>,”</w:t>
      </w:r>
      <w:r w:rsidRPr="00CA1C78">
        <w:rPr>
          <w:color w:val="222222"/>
          <w:sz w:val="20"/>
          <w:szCs w:val="20"/>
          <w:shd w:val="clear" w:color="auto" w:fill="FFFFFF"/>
          <w:lang w:val="en-US"/>
        </w:rPr>
        <w:t> </w:t>
      </w:r>
      <w:r w:rsidRPr="00CA1C78">
        <w:rPr>
          <w:i/>
          <w:iCs/>
          <w:color w:val="222222"/>
          <w:sz w:val="20"/>
          <w:szCs w:val="20"/>
          <w:shd w:val="clear" w:color="auto" w:fill="FFFFFF"/>
          <w:lang w:val="en-US"/>
        </w:rPr>
        <w:t>Journal of Cleaner Production</w:t>
      </w:r>
      <w:r w:rsidRPr="00CA1C78">
        <w:rPr>
          <w:color w:val="222222"/>
          <w:sz w:val="20"/>
          <w:szCs w:val="20"/>
          <w:shd w:val="clear" w:color="auto" w:fill="FFFFFF"/>
          <w:lang w:val="en-US"/>
        </w:rPr>
        <w:t>, </w:t>
      </w:r>
      <w:r w:rsidRPr="00CA1C78">
        <w:rPr>
          <w:i/>
          <w:iCs/>
          <w:color w:val="222222"/>
          <w:sz w:val="20"/>
          <w:szCs w:val="20"/>
          <w:shd w:val="clear" w:color="auto" w:fill="FFFFFF"/>
          <w:lang w:val="en-US"/>
        </w:rPr>
        <w:t>424</w:t>
      </w:r>
      <w:r w:rsidRPr="00CA1C78">
        <w:rPr>
          <w:color w:val="222222"/>
          <w:sz w:val="20"/>
          <w:szCs w:val="20"/>
          <w:shd w:val="clear" w:color="auto" w:fill="FFFFFF"/>
          <w:lang w:val="en-US"/>
        </w:rPr>
        <w:t>, 138899.</w:t>
      </w:r>
    </w:p>
    <w:p w14:paraId="2FE60254" w14:textId="4984EF3B" w:rsidR="00EB31EB" w:rsidRPr="00EB31EB" w:rsidRDefault="00EB31EB" w:rsidP="00825D4E">
      <w:pPr>
        <w:pStyle w:val="ab"/>
        <w:numPr>
          <w:ilvl w:val="0"/>
          <w:numId w:val="6"/>
        </w:numPr>
        <w:spacing w:before="0" w:beforeAutospacing="0" w:after="0" w:afterAutospacing="0"/>
        <w:ind w:left="426" w:hanging="426"/>
        <w:jc w:val="both"/>
        <w:rPr>
          <w:sz w:val="20"/>
          <w:szCs w:val="20"/>
          <w:lang w:val="en-US"/>
        </w:rPr>
      </w:pPr>
      <w:r w:rsidRPr="00EB31EB">
        <w:rPr>
          <w:color w:val="222222"/>
          <w:sz w:val="20"/>
          <w:szCs w:val="20"/>
          <w:shd w:val="clear" w:color="auto" w:fill="FFFFFF"/>
          <w:lang w:val="en-US"/>
        </w:rPr>
        <w:t xml:space="preserve">Teoh, Y. H., How, H. G., Le, T. D., Nguyen, H. T., Loo, D. L., Rashid, T., &amp; Sher, F. (2023). </w:t>
      </w:r>
      <w:r w:rsidR="00DD17E7">
        <w:rPr>
          <w:color w:val="222222"/>
          <w:sz w:val="20"/>
          <w:szCs w:val="20"/>
          <w:shd w:val="clear" w:color="auto" w:fill="FFFFFF"/>
          <w:lang w:val="en-US"/>
        </w:rPr>
        <w:t>“</w:t>
      </w:r>
      <w:r w:rsidRPr="00EB31EB">
        <w:rPr>
          <w:color w:val="222222"/>
          <w:sz w:val="20"/>
          <w:szCs w:val="20"/>
          <w:shd w:val="clear" w:color="auto" w:fill="FFFFFF"/>
          <w:lang w:val="en-US"/>
        </w:rPr>
        <w:t>A review on production and implementation of hydrogen as a green fuel in internal combustion engines</w:t>
      </w:r>
      <w:r w:rsidR="00DD17E7">
        <w:rPr>
          <w:color w:val="222222"/>
          <w:sz w:val="20"/>
          <w:szCs w:val="20"/>
          <w:shd w:val="clear" w:color="auto" w:fill="FFFFFF"/>
          <w:lang w:val="en-US"/>
        </w:rPr>
        <w:t>,”</w:t>
      </w:r>
      <w:r w:rsidRPr="00EB31EB">
        <w:rPr>
          <w:color w:val="222222"/>
          <w:sz w:val="20"/>
          <w:szCs w:val="20"/>
          <w:shd w:val="clear" w:color="auto" w:fill="FFFFFF"/>
          <w:lang w:val="en-US"/>
        </w:rPr>
        <w:t> </w:t>
      </w:r>
      <w:r w:rsidRPr="00DD17E7">
        <w:rPr>
          <w:i/>
          <w:iCs/>
          <w:color w:val="222222"/>
          <w:sz w:val="20"/>
          <w:szCs w:val="20"/>
          <w:shd w:val="clear" w:color="auto" w:fill="FFFFFF"/>
          <w:lang w:val="en-US"/>
        </w:rPr>
        <w:t>Fuel</w:t>
      </w:r>
      <w:r w:rsidRPr="00DD17E7">
        <w:rPr>
          <w:color w:val="222222"/>
          <w:sz w:val="20"/>
          <w:szCs w:val="20"/>
          <w:shd w:val="clear" w:color="auto" w:fill="FFFFFF"/>
          <w:lang w:val="en-US"/>
        </w:rPr>
        <w:t>, </w:t>
      </w:r>
      <w:r w:rsidRPr="00DD17E7">
        <w:rPr>
          <w:i/>
          <w:iCs/>
          <w:color w:val="222222"/>
          <w:sz w:val="20"/>
          <w:szCs w:val="20"/>
          <w:shd w:val="clear" w:color="auto" w:fill="FFFFFF"/>
          <w:lang w:val="en-US"/>
        </w:rPr>
        <w:t>333</w:t>
      </w:r>
      <w:r w:rsidRPr="00DD17E7">
        <w:rPr>
          <w:color w:val="222222"/>
          <w:sz w:val="20"/>
          <w:szCs w:val="20"/>
          <w:shd w:val="clear" w:color="auto" w:fill="FFFFFF"/>
          <w:lang w:val="en-US"/>
        </w:rPr>
        <w:t>, 126525.</w:t>
      </w:r>
    </w:p>
    <w:p w14:paraId="42EBAE95" w14:textId="5E7FAF94" w:rsidR="00EB31EB" w:rsidRPr="00EB31EB" w:rsidRDefault="00EB31EB" w:rsidP="00825D4E">
      <w:pPr>
        <w:pStyle w:val="ab"/>
        <w:numPr>
          <w:ilvl w:val="0"/>
          <w:numId w:val="6"/>
        </w:numPr>
        <w:spacing w:before="0" w:beforeAutospacing="0" w:after="0" w:afterAutospacing="0"/>
        <w:ind w:left="426" w:hanging="426"/>
        <w:jc w:val="both"/>
        <w:rPr>
          <w:sz w:val="20"/>
          <w:szCs w:val="20"/>
          <w:lang w:val="en-US"/>
        </w:rPr>
      </w:pPr>
      <w:proofErr w:type="spellStart"/>
      <w:r w:rsidRPr="00EB31EB">
        <w:rPr>
          <w:color w:val="222222"/>
          <w:sz w:val="20"/>
          <w:szCs w:val="20"/>
          <w:shd w:val="clear" w:color="auto" w:fill="FFFFFF"/>
          <w:lang w:val="en-US"/>
        </w:rPr>
        <w:t>Ciniviz</w:t>
      </w:r>
      <w:proofErr w:type="spellEnd"/>
      <w:r w:rsidRPr="00EB31EB">
        <w:rPr>
          <w:color w:val="222222"/>
          <w:sz w:val="20"/>
          <w:szCs w:val="20"/>
          <w:shd w:val="clear" w:color="auto" w:fill="FFFFFF"/>
          <w:lang w:val="en-US"/>
        </w:rPr>
        <w:t xml:space="preserve">, M., &amp; </w:t>
      </w:r>
      <w:proofErr w:type="spellStart"/>
      <w:r w:rsidRPr="00EB31EB">
        <w:rPr>
          <w:color w:val="222222"/>
          <w:sz w:val="20"/>
          <w:szCs w:val="20"/>
          <w:shd w:val="clear" w:color="auto" w:fill="FFFFFF"/>
          <w:lang w:val="en-US"/>
        </w:rPr>
        <w:t>Köse</w:t>
      </w:r>
      <w:proofErr w:type="spellEnd"/>
      <w:r w:rsidRPr="00EB31EB">
        <w:rPr>
          <w:color w:val="222222"/>
          <w:sz w:val="20"/>
          <w:szCs w:val="20"/>
          <w:shd w:val="clear" w:color="auto" w:fill="FFFFFF"/>
          <w:lang w:val="en-US"/>
        </w:rPr>
        <w:t xml:space="preserve">, H. (2012). </w:t>
      </w:r>
      <w:r w:rsidR="00DD17E7">
        <w:rPr>
          <w:color w:val="222222"/>
          <w:sz w:val="20"/>
          <w:szCs w:val="20"/>
          <w:shd w:val="clear" w:color="auto" w:fill="FFFFFF"/>
          <w:lang w:val="en-US"/>
        </w:rPr>
        <w:t>“</w:t>
      </w:r>
      <w:r w:rsidRPr="00EB31EB">
        <w:rPr>
          <w:color w:val="222222"/>
          <w:sz w:val="20"/>
          <w:szCs w:val="20"/>
          <w:shd w:val="clear" w:color="auto" w:fill="FFFFFF"/>
          <w:lang w:val="en-US"/>
        </w:rPr>
        <w:t>Hydrogen use in internal combustion engine</w:t>
      </w:r>
      <w:r w:rsidR="00DD17E7">
        <w:rPr>
          <w:color w:val="222222"/>
          <w:sz w:val="20"/>
          <w:szCs w:val="20"/>
          <w:shd w:val="clear" w:color="auto" w:fill="FFFFFF"/>
          <w:lang w:val="en-US"/>
        </w:rPr>
        <w:t>,"</w:t>
      </w:r>
      <w:r w:rsidRPr="00EB31EB">
        <w:rPr>
          <w:color w:val="222222"/>
          <w:sz w:val="20"/>
          <w:szCs w:val="20"/>
          <w:shd w:val="clear" w:color="auto" w:fill="FFFFFF"/>
          <w:lang w:val="en-US"/>
        </w:rPr>
        <w:t> </w:t>
      </w:r>
      <w:r w:rsidRPr="00DD17E7">
        <w:rPr>
          <w:i/>
          <w:iCs/>
          <w:color w:val="222222"/>
          <w:sz w:val="20"/>
          <w:szCs w:val="20"/>
          <w:shd w:val="clear" w:color="auto" w:fill="FFFFFF"/>
          <w:lang w:val="en-US"/>
        </w:rPr>
        <w:t>International Journal of Automotive Engineering and Technologies</w:t>
      </w:r>
      <w:r w:rsidRPr="00DD17E7">
        <w:rPr>
          <w:color w:val="222222"/>
          <w:sz w:val="20"/>
          <w:szCs w:val="20"/>
          <w:shd w:val="clear" w:color="auto" w:fill="FFFFFF"/>
          <w:lang w:val="en-US"/>
        </w:rPr>
        <w:t>, </w:t>
      </w:r>
      <w:r w:rsidRPr="00DD17E7">
        <w:rPr>
          <w:i/>
          <w:iCs/>
          <w:color w:val="222222"/>
          <w:sz w:val="20"/>
          <w:szCs w:val="20"/>
          <w:shd w:val="clear" w:color="auto" w:fill="FFFFFF"/>
          <w:lang w:val="en-US"/>
        </w:rPr>
        <w:t>1</w:t>
      </w:r>
      <w:r w:rsidRPr="00DD17E7">
        <w:rPr>
          <w:color w:val="222222"/>
          <w:sz w:val="20"/>
          <w:szCs w:val="20"/>
          <w:shd w:val="clear" w:color="auto" w:fill="FFFFFF"/>
          <w:lang w:val="en-US"/>
        </w:rPr>
        <w:t>(1), 1-15.</w:t>
      </w:r>
    </w:p>
    <w:p w14:paraId="69AEB2BD" w14:textId="77777777" w:rsidR="00974B2D" w:rsidRPr="000B71A9" w:rsidRDefault="00974B2D" w:rsidP="00825D4E">
      <w:pPr>
        <w:pStyle w:val="ab"/>
        <w:spacing w:before="0" w:beforeAutospacing="0" w:after="0" w:afterAutospacing="0"/>
        <w:ind w:left="360"/>
        <w:jc w:val="both"/>
        <w:rPr>
          <w:sz w:val="20"/>
          <w:szCs w:val="20"/>
          <w:lang w:val="en-US"/>
        </w:rPr>
      </w:pPr>
    </w:p>
    <w:sectPr w:rsidR="00974B2D" w:rsidRPr="000B71A9" w:rsidSect="00EE7BE9">
      <w:pgSz w:w="11907" w:h="16840"/>
      <w:pgMar w:top="1134" w:right="850" w:bottom="1134" w:left="1701"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3134E" w14:textId="77777777" w:rsidR="00F12785" w:rsidRDefault="00F12785">
      <w:r>
        <w:separator/>
      </w:r>
    </w:p>
  </w:endnote>
  <w:endnote w:type="continuationSeparator" w:id="0">
    <w:p w14:paraId="1615A020" w14:textId="77777777" w:rsidR="00F12785" w:rsidRDefault="00F12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AB60A" w14:textId="77777777" w:rsidR="00F12785" w:rsidRDefault="00F12785">
      <w:r>
        <w:separator/>
      </w:r>
    </w:p>
  </w:footnote>
  <w:footnote w:type="continuationSeparator" w:id="0">
    <w:p w14:paraId="4F14C808" w14:textId="77777777" w:rsidR="00F12785" w:rsidRDefault="00F127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716CB"/>
    <w:multiLevelType w:val="multilevel"/>
    <w:tmpl w:val="63AAE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B332C4"/>
    <w:multiLevelType w:val="multilevel"/>
    <w:tmpl w:val="67D27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627239"/>
    <w:multiLevelType w:val="multilevel"/>
    <w:tmpl w:val="20D025D2"/>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AB416E4"/>
    <w:multiLevelType w:val="hybridMultilevel"/>
    <w:tmpl w:val="BAEC5E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BF637B"/>
    <w:multiLevelType w:val="hybridMultilevel"/>
    <w:tmpl w:val="7E060D9C"/>
    <w:lvl w:ilvl="0" w:tplc="8560265A">
      <w:start w:val="1"/>
      <w:numFmt w:val="decimal"/>
      <w:lvlText w:val="[%1]"/>
      <w:lvlJc w:val="left"/>
      <w:pPr>
        <w:ind w:left="720" w:hanging="360"/>
      </w:pPr>
      <w:rPr>
        <w:rFonts w:hint="default"/>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F13905"/>
    <w:multiLevelType w:val="hybridMultilevel"/>
    <w:tmpl w:val="63C4B464"/>
    <w:lvl w:ilvl="0" w:tplc="8326DBB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BE6"/>
    <w:rsid w:val="000069A3"/>
    <w:rsid w:val="00043329"/>
    <w:rsid w:val="00051449"/>
    <w:rsid w:val="00097B6D"/>
    <w:rsid w:val="000A6AB8"/>
    <w:rsid w:val="000B4382"/>
    <w:rsid w:val="000B71A9"/>
    <w:rsid w:val="000C5635"/>
    <w:rsid w:val="000E656B"/>
    <w:rsid w:val="00122D2E"/>
    <w:rsid w:val="001374B7"/>
    <w:rsid w:val="001459E0"/>
    <w:rsid w:val="00187E92"/>
    <w:rsid w:val="001920AD"/>
    <w:rsid w:val="001A125A"/>
    <w:rsid w:val="001A1C8B"/>
    <w:rsid w:val="001B3991"/>
    <w:rsid w:val="001D235A"/>
    <w:rsid w:val="001E2DC1"/>
    <w:rsid w:val="001F3B10"/>
    <w:rsid w:val="00235403"/>
    <w:rsid w:val="00235503"/>
    <w:rsid w:val="00272C9F"/>
    <w:rsid w:val="00274BE6"/>
    <w:rsid w:val="0027704A"/>
    <w:rsid w:val="002F5A43"/>
    <w:rsid w:val="00335A50"/>
    <w:rsid w:val="003365FE"/>
    <w:rsid w:val="0039624A"/>
    <w:rsid w:val="003C391D"/>
    <w:rsid w:val="003E1813"/>
    <w:rsid w:val="0042530D"/>
    <w:rsid w:val="00457DF3"/>
    <w:rsid w:val="00472F54"/>
    <w:rsid w:val="00486689"/>
    <w:rsid w:val="004D4BE5"/>
    <w:rsid w:val="004D5774"/>
    <w:rsid w:val="004D6820"/>
    <w:rsid w:val="00515C6F"/>
    <w:rsid w:val="00520D86"/>
    <w:rsid w:val="00584512"/>
    <w:rsid w:val="0059467F"/>
    <w:rsid w:val="006426BC"/>
    <w:rsid w:val="00653ABE"/>
    <w:rsid w:val="006868F7"/>
    <w:rsid w:val="006E617E"/>
    <w:rsid w:val="006F477D"/>
    <w:rsid w:val="00702420"/>
    <w:rsid w:val="00703260"/>
    <w:rsid w:val="007377B5"/>
    <w:rsid w:val="00753A7D"/>
    <w:rsid w:val="007B4D5A"/>
    <w:rsid w:val="008153B4"/>
    <w:rsid w:val="00824D1D"/>
    <w:rsid w:val="00825D4E"/>
    <w:rsid w:val="00850325"/>
    <w:rsid w:val="0085284A"/>
    <w:rsid w:val="00870FC2"/>
    <w:rsid w:val="008B298A"/>
    <w:rsid w:val="00921015"/>
    <w:rsid w:val="00974B2D"/>
    <w:rsid w:val="009809A4"/>
    <w:rsid w:val="009B4219"/>
    <w:rsid w:val="009C61A5"/>
    <w:rsid w:val="00A06009"/>
    <w:rsid w:val="00A1438B"/>
    <w:rsid w:val="00A417CA"/>
    <w:rsid w:val="00A534C4"/>
    <w:rsid w:val="00A64AED"/>
    <w:rsid w:val="00A802FC"/>
    <w:rsid w:val="00A95225"/>
    <w:rsid w:val="00AA5A17"/>
    <w:rsid w:val="00AD096F"/>
    <w:rsid w:val="00B17912"/>
    <w:rsid w:val="00B359FC"/>
    <w:rsid w:val="00B3691B"/>
    <w:rsid w:val="00B40966"/>
    <w:rsid w:val="00B54806"/>
    <w:rsid w:val="00BA0223"/>
    <w:rsid w:val="00BD4CBC"/>
    <w:rsid w:val="00BE7B86"/>
    <w:rsid w:val="00C026CB"/>
    <w:rsid w:val="00C147DF"/>
    <w:rsid w:val="00C14F1E"/>
    <w:rsid w:val="00C151B3"/>
    <w:rsid w:val="00C30CDC"/>
    <w:rsid w:val="00C45779"/>
    <w:rsid w:val="00CA1C78"/>
    <w:rsid w:val="00CC5038"/>
    <w:rsid w:val="00CD3800"/>
    <w:rsid w:val="00CF10A9"/>
    <w:rsid w:val="00D30C9A"/>
    <w:rsid w:val="00D52666"/>
    <w:rsid w:val="00D547C2"/>
    <w:rsid w:val="00D54E0C"/>
    <w:rsid w:val="00D6576B"/>
    <w:rsid w:val="00DA1F38"/>
    <w:rsid w:val="00DB614E"/>
    <w:rsid w:val="00DD17E7"/>
    <w:rsid w:val="00DF26EF"/>
    <w:rsid w:val="00EA53C5"/>
    <w:rsid w:val="00EB31EB"/>
    <w:rsid w:val="00EC5804"/>
    <w:rsid w:val="00EE4FD7"/>
    <w:rsid w:val="00EE7BE9"/>
    <w:rsid w:val="00F12785"/>
    <w:rsid w:val="00F4322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D9D4F"/>
  <w15:docId w15:val="{720813B3-F693-4613-A01B-C66AA71C1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20">
    <w:name w:val="2"/>
    <w:basedOn w:val="a1"/>
    <w:tblPr>
      <w:tblStyleRowBandSize w:val="1"/>
      <w:tblStyleColBandSize w:val="1"/>
      <w:tblCellMar>
        <w:left w:w="70" w:type="dxa"/>
        <w:right w:w="70" w:type="dxa"/>
      </w:tblCellMar>
    </w:tblPr>
  </w:style>
  <w:style w:type="table" w:customStyle="1" w:styleId="10">
    <w:name w:val="1"/>
    <w:basedOn w:val="a1"/>
    <w:tblPr>
      <w:tblStyleRowBandSize w:val="1"/>
      <w:tblStyleColBandSize w:val="1"/>
      <w:tblCellMar>
        <w:left w:w="70" w:type="dxa"/>
        <w:right w:w="70" w:type="dxa"/>
      </w:tblCellMar>
    </w:tblPr>
  </w:style>
  <w:style w:type="paragraph" w:styleId="a5">
    <w:name w:val="Balloon Text"/>
    <w:basedOn w:val="a"/>
    <w:link w:val="a6"/>
    <w:uiPriority w:val="99"/>
    <w:semiHidden/>
    <w:unhideWhenUsed/>
    <w:rsid w:val="00870FC2"/>
    <w:rPr>
      <w:rFonts w:ascii="Tahoma" w:hAnsi="Tahoma" w:cs="Tahoma"/>
      <w:sz w:val="16"/>
      <w:szCs w:val="16"/>
    </w:rPr>
  </w:style>
  <w:style w:type="character" w:customStyle="1" w:styleId="a6">
    <w:name w:val="Текст выноски Знак"/>
    <w:basedOn w:val="a0"/>
    <w:link w:val="a5"/>
    <w:uiPriority w:val="99"/>
    <w:semiHidden/>
    <w:rsid w:val="00870FC2"/>
    <w:rPr>
      <w:rFonts w:ascii="Tahoma" w:hAnsi="Tahoma" w:cs="Tahoma"/>
      <w:sz w:val="16"/>
      <w:szCs w:val="16"/>
    </w:rPr>
  </w:style>
  <w:style w:type="paragraph" w:customStyle="1" w:styleId="ICST-References">
    <w:name w:val="ICST-References"/>
    <w:qFormat/>
    <w:rsid w:val="00235403"/>
    <w:pPr>
      <w:numPr>
        <w:numId w:val="1"/>
      </w:numPr>
      <w:ind w:left="400" w:hanging="400"/>
      <w:jc w:val="both"/>
    </w:pPr>
    <w:rPr>
      <w:bCs/>
      <w:color w:val="auto"/>
      <w:sz w:val="18"/>
      <w:szCs w:val="18"/>
      <w:lang w:val="en-GB" w:eastAsia="en-GB"/>
    </w:rPr>
  </w:style>
  <w:style w:type="character" w:styleId="a7">
    <w:name w:val="Hyperlink"/>
    <w:basedOn w:val="a0"/>
    <w:uiPriority w:val="99"/>
    <w:unhideWhenUsed/>
    <w:rsid w:val="00703260"/>
    <w:rPr>
      <w:color w:val="0563C1" w:themeColor="hyperlink"/>
      <w:u w:val="single"/>
    </w:rPr>
  </w:style>
  <w:style w:type="character" w:styleId="a8">
    <w:name w:val="Unresolved Mention"/>
    <w:basedOn w:val="a0"/>
    <w:uiPriority w:val="99"/>
    <w:semiHidden/>
    <w:unhideWhenUsed/>
    <w:rsid w:val="00703260"/>
    <w:rPr>
      <w:color w:val="605E5C"/>
      <w:shd w:val="clear" w:color="auto" w:fill="E1DFDD"/>
    </w:rPr>
  </w:style>
  <w:style w:type="table" w:styleId="a9">
    <w:name w:val="Table Grid"/>
    <w:basedOn w:val="a1"/>
    <w:uiPriority w:val="59"/>
    <w:rsid w:val="000A6AB8"/>
    <w:rPr>
      <w:rFonts w:asciiTheme="minorHAnsi" w:eastAsiaTheme="minorHAnsi" w:hAnsiTheme="minorHAnsi" w:cstheme="minorBidi"/>
      <w:color w:val="auto"/>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043329"/>
    <w:pPr>
      <w:ind w:left="720"/>
      <w:contextualSpacing/>
    </w:pPr>
  </w:style>
  <w:style w:type="paragraph" w:styleId="ab">
    <w:name w:val="Normal (Web)"/>
    <w:basedOn w:val="a"/>
    <w:uiPriority w:val="99"/>
    <w:unhideWhenUsed/>
    <w:rsid w:val="00043329"/>
    <w:pPr>
      <w:spacing w:before="100" w:beforeAutospacing="1" w:after="100" w:afterAutospacing="1"/>
    </w:pPr>
    <w:rPr>
      <w:color w:val="auto"/>
      <w:sz w:val="24"/>
      <w:szCs w:val="24"/>
      <w:lang w:val="ru-RU" w:eastAsia="ru-RU"/>
    </w:rPr>
  </w:style>
  <w:style w:type="paragraph" w:styleId="ac">
    <w:name w:val="No Spacing"/>
    <w:uiPriority w:val="1"/>
    <w:qFormat/>
    <w:rsid w:val="009C61A5"/>
    <w:rPr>
      <w:rFonts w:eastAsiaTheme="minorHAnsi" w:cstheme="minorBidi"/>
      <w:color w:val="auto"/>
      <w:sz w:val="24"/>
      <w:szCs w:val="22"/>
      <w:lang w:val="ru-RU" w:eastAsia="en-US"/>
    </w:rPr>
  </w:style>
  <w:style w:type="character" w:styleId="ad">
    <w:name w:val="Emphasis"/>
    <w:basedOn w:val="a0"/>
    <w:uiPriority w:val="20"/>
    <w:qFormat/>
    <w:rsid w:val="009C61A5"/>
    <w:rPr>
      <w:i/>
      <w:iCs/>
    </w:rPr>
  </w:style>
  <w:style w:type="character" w:customStyle="1" w:styleId="mord">
    <w:name w:val="mord"/>
    <w:basedOn w:val="a0"/>
    <w:rsid w:val="00D547C2"/>
  </w:style>
  <w:style w:type="character" w:customStyle="1" w:styleId="vlist-s">
    <w:name w:val="vlist-s"/>
    <w:basedOn w:val="a0"/>
    <w:rsid w:val="00D547C2"/>
  </w:style>
  <w:style w:type="character" w:customStyle="1" w:styleId="mspace">
    <w:name w:val="mspace"/>
    <w:basedOn w:val="a0"/>
    <w:rsid w:val="00D547C2"/>
  </w:style>
  <w:style w:type="character" w:customStyle="1" w:styleId="mbin">
    <w:name w:val="mbin"/>
    <w:basedOn w:val="a0"/>
    <w:rsid w:val="00D547C2"/>
  </w:style>
  <w:style w:type="character" w:customStyle="1" w:styleId="mrel">
    <w:name w:val="mrel"/>
    <w:basedOn w:val="a0"/>
    <w:rsid w:val="00D547C2"/>
  </w:style>
  <w:style w:type="character" w:styleId="ae">
    <w:name w:val="Strong"/>
    <w:basedOn w:val="a0"/>
    <w:uiPriority w:val="22"/>
    <w:qFormat/>
    <w:rsid w:val="007B4D5A"/>
    <w:rPr>
      <w:b/>
      <w:bCs/>
    </w:rPr>
  </w:style>
  <w:style w:type="character" w:styleId="af">
    <w:name w:val="FollowedHyperlink"/>
    <w:basedOn w:val="a0"/>
    <w:uiPriority w:val="99"/>
    <w:semiHidden/>
    <w:unhideWhenUsed/>
    <w:rsid w:val="00B3691B"/>
    <w:rPr>
      <w:color w:val="954F72" w:themeColor="followedHyperlink"/>
      <w:u w:val="single"/>
    </w:rPr>
  </w:style>
  <w:style w:type="paragraph" w:styleId="af0">
    <w:name w:val="header"/>
    <w:basedOn w:val="a"/>
    <w:link w:val="af1"/>
    <w:uiPriority w:val="99"/>
    <w:unhideWhenUsed/>
    <w:rsid w:val="00D30C9A"/>
    <w:pPr>
      <w:tabs>
        <w:tab w:val="center" w:pos="4677"/>
        <w:tab w:val="right" w:pos="9355"/>
      </w:tabs>
    </w:pPr>
  </w:style>
  <w:style w:type="character" w:customStyle="1" w:styleId="af1">
    <w:name w:val="Верхний колонтитул Знак"/>
    <w:basedOn w:val="a0"/>
    <w:link w:val="af0"/>
    <w:uiPriority w:val="99"/>
    <w:rsid w:val="00D30C9A"/>
  </w:style>
  <w:style w:type="paragraph" w:styleId="af2">
    <w:name w:val="footer"/>
    <w:basedOn w:val="a"/>
    <w:link w:val="af3"/>
    <w:uiPriority w:val="99"/>
    <w:unhideWhenUsed/>
    <w:rsid w:val="00D30C9A"/>
    <w:pPr>
      <w:tabs>
        <w:tab w:val="center" w:pos="4677"/>
        <w:tab w:val="right" w:pos="9355"/>
      </w:tabs>
    </w:pPr>
  </w:style>
  <w:style w:type="character" w:customStyle="1" w:styleId="af3">
    <w:name w:val="Нижний колонтитул Знак"/>
    <w:basedOn w:val="a0"/>
    <w:link w:val="af2"/>
    <w:uiPriority w:val="99"/>
    <w:rsid w:val="00D30C9A"/>
  </w:style>
  <w:style w:type="character" w:customStyle="1" w:styleId="typography-modulelvnit">
    <w:name w:val="typography-module__lvnit"/>
    <w:basedOn w:val="a0"/>
    <w:rsid w:val="00753A7D"/>
  </w:style>
  <w:style w:type="character" w:customStyle="1" w:styleId="authors-moduleumr1o">
    <w:name w:val="authors-module__umr1o"/>
    <w:basedOn w:val="a0"/>
    <w:rsid w:val="00825D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88420">
      <w:bodyDiv w:val="1"/>
      <w:marLeft w:val="0"/>
      <w:marRight w:val="0"/>
      <w:marTop w:val="0"/>
      <w:marBottom w:val="0"/>
      <w:divBdr>
        <w:top w:val="none" w:sz="0" w:space="0" w:color="auto"/>
        <w:left w:val="none" w:sz="0" w:space="0" w:color="auto"/>
        <w:bottom w:val="none" w:sz="0" w:space="0" w:color="auto"/>
        <w:right w:val="none" w:sz="0" w:space="0" w:color="auto"/>
      </w:divBdr>
    </w:div>
    <w:div w:id="166022001">
      <w:bodyDiv w:val="1"/>
      <w:marLeft w:val="0"/>
      <w:marRight w:val="0"/>
      <w:marTop w:val="0"/>
      <w:marBottom w:val="0"/>
      <w:divBdr>
        <w:top w:val="none" w:sz="0" w:space="0" w:color="auto"/>
        <w:left w:val="none" w:sz="0" w:space="0" w:color="auto"/>
        <w:bottom w:val="none" w:sz="0" w:space="0" w:color="auto"/>
        <w:right w:val="none" w:sz="0" w:space="0" w:color="auto"/>
      </w:divBdr>
    </w:div>
    <w:div w:id="245385507">
      <w:bodyDiv w:val="1"/>
      <w:marLeft w:val="0"/>
      <w:marRight w:val="0"/>
      <w:marTop w:val="0"/>
      <w:marBottom w:val="0"/>
      <w:divBdr>
        <w:top w:val="none" w:sz="0" w:space="0" w:color="auto"/>
        <w:left w:val="none" w:sz="0" w:space="0" w:color="auto"/>
        <w:bottom w:val="none" w:sz="0" w:space="0" w:color="auto"/>
        <w:right w:val="none" w:sz="0" w:space="0" w:color="auto"/>
      </w:divBdr>
      <w:divsChild>
        <w:div w:id="1974358869">
          <w:marLeft w:val="0"/>
          <w:marRight w:val="0"/>
          <w:marTop w:val="0"/>
          <w:marBottom w:val="0"/>
          <w:divBdr>
            <w:top w:val="none" w:sz="0" w:space="0" w:color="auto"/>
            <w:left w:val="none" w:sz="0" w:space="0" w:color="auto"/>
            <w:bottom w:val="none" w:sz="0" w:space="0" w:color="auto"/>
            <w:right w:val="none" w:sz="0" w:space="0" w:color="auto"/>
          </w:divBdr>
          <w:divsChild>
            <w:div w:id="75471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75702">
      <w:bodyDiv w:val="1"/>
      <w:marLeft w:val="0"/>
      <w:marRight w:val="0"/>
      <w:marTop w:val="0"/>
      <w:marBottom w:val="0"/>
      <w:divBdr>
        <w:top w:val="none" w:sz="0" w:space="0" w:color="auto"/>
        <w:left w:val="none" w:sz="0" w:space="0" w:color="auto"/>
        <w:bottom w:val="none" w:sz="0" w:space="0" w:color="auto"/>
        <w:right w:val="none" w:sz="0" w:space="0" w:color="auto"/>
      </w:divBdr>
    </w:div>
    <w:div w:id="357123346">
      <w:bodyDiv w:val="1"/>
      <w:marLeft w:val="0"/>
      <w:marRight w:val="0"/>
      <w:marTop w:val="0"/>
      <w:marBottom w:val="0"/>
      <w:divBdr>
        <w:top w:val="none" w:sz="0" w:space="0" w:color="auto"/>
        <w:left w:val="none" w:sz="0" w:space="0" w:color="auto"/>
        <w:bottom w:val="none" w:sz="0" w:space="0" w:color="auto"/>
        <w:right w:val="none" w:sz="0" w:space="0" w:color="auto"/>
      </w:divBdr>
    </w:div>
    <w:div w:id="495994278">
      <w:bodyDiv w:val="1"/>
      <w:marLeft w:val="0"/>
      <w:marRight w:val="0"/>
      <w:marTop w:val="0"/>
      <w:marBottom w:val="0"/>
      <w:divBdr>
        <w:top w:val="none" w:sz="0" w:space="0" w:color="auto"/>
        <w:left w:val="none" w:sz="0" w:space="0" w:color="auto"/>
        <w:bottom w:val="none" w:sz="0" w:space="0" w:color="auto"/>
        <w:right w:val="none" w:sz="0" w:space="0" w:color="auto"/>
      </w:divBdr>
    </w:div>
    <w:div w:id="600068333">
      <w:bodyDiv w:val="1"/>
      <w:marLeft w:val="0"/>
      <w:marRight w:val="0"/>
      <w:marTop w:val="0"/>
      <w:marBottom w:val="0"/>
      <w:divBdr>
        <w:top w:val="none" w:sz="0" w:space="0" w:color="auto"/>
        <w:left w:val="none" w:sz="0" w:space="0" w:color="auto"/>
        <w:bottom w:val="none" w:sz="0" w:space="0" w:color="auto"/>
        <w:right w:val="none" w:sz="0" w:space="0" w:color="auto"/>
      </w:divBdr>
    </w:div>
    <w:div w:id="1095128098">
      <w:bodyDiv w:val="1"/>
      <w:marLeft w:val="0"/>
      <w:marRight w:val="0"/>
      <w:marTop w:val="0"/>
      <w:marBottom w:val="0"/>
      <w:divBdr>
        <w:top w:val="none" w:sz="0" w:space="0" w:color="auto"/>
        <w:left w:val="none" w:sz="0" w:space="0" w:color="auto"/>
        <w:bottom w:val="none" w:sz="0" w:space="0" w:color="auto"/>
        <w:right w:val="none" w:sz="0" w:space="0" w:color="auto"/>
      </w:divBdr>
    </w:div>
    <w:div w:id="1234006247">
      <w:bodyDiv w:val="1"/>
      <w:marLeft w:val="0"/>
      <w:marRight w:val="0"/>
      <w:marTop w:val="0"/>
      <w:marBottom w:val="0"/>
      <w:divBdr>
        <w:top w:val="none" w:sz="0" w:space="0" w:color="auto"/>
        <w:left w:val="none" w:sz="0" w:space="0" w:color="auto"/>
        <w:bottom w:val="none" w:sz="0" w:space="0" w:color="auto"/>
        <w:right w:val="none" w:sz="0" w:space="0" w:color="auto"/>
      </w:divBdr>
    </w:div>
    <w:div w:id="1277061540">
      <w:bodyDiv w:val="1"/>
      <w:marLeft w:val="0"/>
      <w:marRight w:val="0"/>
      <w:marTop w:val="0"/>
      <w:marBottom w:val="0"/>
      <w:divBdr>
        <w:top w:val="none" w:sz="0" w:space="0" w:color="auto"/>
        <w:left w:val="none" w:sz="0" w:space="0" w:color="auto"/>
        <w:bottom w:val="none" w:sz="0" w:space="0" w:color="auto"/>
        <w:right w:val="none" w:sz="0" w:space="0" w:color="auto"/>
      </w:divBdr>
    </w:div>
    <w:div w:id="1409116717">
      <w:bodyDiv w:val="1"/>
      <w:marLeft w:val="0"/>
      <w:marRight w:val="0"/>
      <w:marTop w:val="0"/>
      <w:marBottom w:val="0"/>
      <w:divBdr>
        <w:top w:val="none" w:sz="0" w:space="0" w:color="auto"/>
        <w:left w:val="none" w:sz="0" w:space="0" w:color="auto"/>
        <w:bottom w:val="none" w:sz="0" w:space="0" w:color="auto"/>
        <w:right w:val="none" w:sz="0" w:space="0" w:color="auto"/>
      </w:divBdr>
    </w:div>
    <w:div w:id="1428387396">
      <w:bodyDiv w:val="1"/>
      <w:marLeft w:val="0"/>
      <w:marRight w:val="0"/>
      <w:marTop w:val="0"/>
      <w:marBottom w:val="0"/>
      <w:divBdr>
        <w:top w:val="none" w:sz="0" w:space="0" w:color="auto"/>
        <w:left w:val="none" w:sz="0" w:space="0" w:color="auto"/>
        <w:bottom w:val="none" w:sz="0" w:space="0" w:color="auto"/>
        <w:right w:val="none" w:sz="0" w:space="0" w:color="auto"/>
      </w:divBdr>
    </w:div>
    <w:div w:id="1534925331">
      <w:bodyDiv w:val="1"/>
      <w:marLeft w:val="0"/>
      <w:marRight w:val="0"/>
      <w:marTop w:val="0"/>
      <w:marBottom w:val="0"/>
      <w:divBdr>
        <w:top w:val="none" w:sz="0" w:space="0" w:color="auto"/>
        <w:left w:val="none" w:sz="0" w:space="0" w:color="auto"/>
        <w:bottom w:val="none" w:sz="0" w:space="0" w:color="auto"/>
        <w:right w:val="none" w:sz="0" w:space="0" w:color="auto"/>
      </w:divBdr>
    </w:div>
    <w:div w:id="1899591160">
      <w:bodyDiv w:val="1"/>
      <w:marLeft w:val="0"/>
      <w:marRight w:val="0"/>
      <w:marTop w:val="0"/>
      <w:marBottom w:val="0"/>
      <w:divBdr>
        <w:top w:val="none" w:sz="0" w:space="0" w:color="auto"/>
        <w:left w:val="none" w:sz="0" w:space="0" w:color="auto"/>
        <w:bottom w:val="none" w:sz="0" w:space="0" w:color="auto"/>
        <w:right w:val="none" w:sz="0" w:space="0" w:color="auto"/>
      </w:divBdr>
    </w:div>
    <w:div w:id="1931817651">
      <w:bodyDiv w:val="1"/>
      <w:marLeft w:val="0"/>
      <w:marRight w:val="0"/>
      <w:marTop w:val="0"/>
      <w:marBottom w:val="0"/>
      <w:divBdr>
        <w:top w:val="none" w:sz="0" w:space="0" w:color="auto"/>
        <w:left w:val="none" w:sz="0" w:space="0" w:color="auto"/>
        <w:bottom w:val="none" w:sz="0" w:space="0" w:color="auto"/>
        <w:right w:val="none" w:sz="0" w:space="0" w:color="auto"/>
      </w:divBdr>
    </w:div>
    <w:div w:id="20993268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id7778akbar@mail.ru" TargetMode="External"/><Relationship Id="rId13" Type="http://schemas.openxmlformats.org/officeDocument/2006/relationships/hyperlink" Target="https://doi.org/10.1016/S0360-3199(02)00027-9" TargetMode="External"/><Relationship Id="rId18" Type="http://schemas.openxmlformats.org/officeDocument/2006/relationships/hyperlink" Target="https://doi.org/10.1016/j.ijhydene.2009.01.082"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i.org/10.1016/j.ijhydene.2005.12.001" TargetMode="External"/><Relationship Id="rId7" Type="http://schemas.openxmlformats.org/officeDocument/2006/relationships/hyperlink" Target="mailto:ravshan_khikmatov@mail.ru" TargetMode="External"/><Relationship Id="rId12" Type="http://schemas.openxmlformats.org/officeDocument/2006/relationships/hyperlink" Target="https://www.scopus.com/pages/publications/85190649296" TargetMode="External"/><Relationship Id="rId17" Type="http://schemas.openxmlformats.org/officeDocument/2006/relationships/hyperlink" Target="https://www.scopus.com/pages/publications/105013207913"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16/j.pecs.2009.06.003" TargetMode="External"/><Relationship Id="rId20" Type="http://schemas.openxmlformats.org/officeDocument/2006/relationships/hyperlink" Target="https://www.scopus.com/pages/publications/8518824817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16/j.ijhydene.2013.11.117" TargetMode="External"/><Relationship Id="rId24" Type="http://schemas.openxmlformats.org/officeDocument/2006/relationships/hyperlink" Target="https://doi.org/10.1063/5.0114531" TargetMode="External"/><Relationship Id="rId5" Type="http://schemas.openxmlformats.org/officeDocument/2006/relationships/footnotes" Target="footnotes.xml"/><Relationship Id="rId15" Type="http://schemas.openxmlformats.org/officeDocument/2006/relationships/hyperlink" Target="https://doi.org/10.1051/e3sconf/202336501012" TargetMode="External"/><Relationship Id="rId23" Type="http://schemas.openxmlformats.org/officeDocument/2006/relationships/hyperlink" Target="https://www.scopus.com/pages/publications/105013369636" TargetMode="External"/><Relationship Id="rId10" Type="http://schemas.openxmlformats.org/officeDocument/2006/relationships/hyperlink" Target="https://doi.org/10.1016/S0360-3199(01)00028-8" TargetMode="External"/><Relationship Id="rId19" Type="http://schemas.openxmlformats.org/officeDocument/2006/relationships/hyperlink" Target="https://doi.org/10.1016/j.fuel.2022.126525"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s://doi.org/10.5937/jaes0-27851" TargetMode="External"/><Relationship Id="rId22" Type="http://schemas.openxmlformats.org/officeDocument/2006/relationships/hyperlink" Target="https://doi.org/10.3390/pr80911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3426</Words>
  <Characters>19529</Characters>
  <Application>Microsoft Office Word</Application>
  <DocSecurity>0</DocSecurity>
  <Lines>162</Lines>
  <Paragraphs>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Tashkent state transport university</Company>
  <LinksUpToDate>false</LinksUpToDate>
  <CharactersWithSpaces>22910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Alimova Zebo1,  Khikmatov Ravshan2, Saidumarov Alisher3</dc:creator>
  <cp:lastModifiedBy>Talipov Miraziz</cp:lastModifiedBy>
  <cp:revision>3</cp:revision>
  <dcterms:created xsi:type="dcterms:W3CDTF">2025-09-11T12:41:00Z</dcterms:created>
  <dcterms:modified xsi:type="dcterms:W3CDTF">2025-09-12T04:15:00Z</dcterms:modified>
</cp:coreProperties>
</file>