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815EA" w14:textId="1DFE883D" w:rsidR="0016385D" w:rsidRPr="00075EA6" w:rsidRDefault="009A4C5B" w:rsidP="00CC3CDC">
      <w:pPr>
        <w:pStyle w:val="PaperTitle"/>
        <w:rPr>
          <w:b w:val="0"/>
          <w:bCs/>
          <w:sz w:val="24"/>
          <w:szCs w:val="24"/>
        </w:rPr>
      </w:pPr>
      <w:r w:rsidRPr="009A4C5B">
        <w:t>Structural Strength Evaluation of the Main Frame in the PE2U Industrial Traction Unit Control Electric Locomotive</w:t>
      </w:r>
    </w:p>
    <w:p w14:paraId="548D96A3" w14:textId="73ED1A48" w:rsidR="00C14B14" w:rsidRPr="009A4C5B" w:rsidRDefault="009A4C5B" w:rsidP="00CC3CDC">
      <w:pPr>
        <w:pStyle w:val="AuthorName"/>
      </w:pPr>
      <w:proofErr w:type="spellStart"/>
      <w:r>
        <w:t>Sherzamin</w:t>
      </w:r>
      <w:proofErr w:type="spellEnd"/>
      <w:r>
        <w:t xml:space="preserve"> Abdurasulov</w:t>
      </w:r>
      <w:r w:rsidRPr="009A4C5B">
        <w:rPr>
          <w:vertAlign w:val="superscript"/>
        </w:rPr>
        <w:t>1</w:t>
      </w:r>
      <w:r w:rsidR="00BE2A5A">
        <w:rPr>
          <w:vertAlign w:val="superscript"/>
        </w:rPr>
        <w:t>,</w:t>
      </w:r>
      <w:r w:rsidR="0016383D">
        <w:rPr>
          <w:vertAlign w:val="superscript"/>
        </w:rPr>
        <w:t xml:space="preserve"> </w:t>
      </w:r>
      <w:r w:rsidR="00BE2A5A">
        <w:rPr>
          <w:vertAlign w:val="superscript"/>
        </w:rPr>
        <w:t>a)</w:t>
      </w:r>
      <w:r>
        <w:t xml:space="preserve">, </w:t>
      </w:r>
      <w:proofErr w:type="spellStart"/>
      <w:r>
        <w:t>Nuriddin</w:t>
      </w:r>
      <w:proofErr w:type="spellEnd"/>
      <w:r>
        <w:t xml:space="preserve"> Zayniddinov</w:t>
      </w:r>
      <w:r w:rsidRPr="009A4C5B">
        <w:rPr>
          <w:vertAlign w:val="superscript"/>
        </w:rPr>
        <w:t>1</w:t>
      </w:r>
      <w:r w:rsidR="00BE2A5A">
        <w:rPr>
          <w:vertAlign w:val="superscript"/>
        </w:rPr>
        <w:t>,</w:t>
      </w:r>
      <w:r w:rsidR="0016383D">
        <w:rPr>
          <w:vertAlign w:val="superscript"/>
        </w:rPr>
        <w:t xml:space="preserve"> </w:t>
      </w:r>
      <w:r w:rsidR="00BE2A5A">
        <w:rPr>
          <w:vertAlign w:val="superscript"/>
        </w:rPr>
        <w:t>b)</w:t>
      </w:r>
      <w:r>
        <w:t xml:space="preserve">, </w:t>
      </w:r>
      <w:proofErr w:type="spellStart"/>
      <w:r>
        <w:t>Abdulaziz</w:t>
      </w:r>
      <w:proofErr w:type="spellEnd"/>
      <w:r>
        <w:t xml:space="preserve"> Yusufov</w:t>
      </w:r>
      <w:r w:rsidRPr="009A4C5B">
        <w:rPr>
          <w:vertAlign w:val="superscript"/>
        </w:rPr>
        <w:t>1</w:t>
      </w:r>
      <w:r w:rsidR="00BE2A5A">
        <w:rPr>
          <w:vertAlign w:val="superscript"/>
        </w:rPr>
        <w:t>,</w:t>
      </w:r>
      <w:r w:rsidR="0016383D">
        <w:rPr>
          <w:vertAlign w:val="superscript"/>
        </w:rPr>
        <w:t xml:space="preserve"> </w:t>
      </w:r>
      <w:r w:rsidR="00BE2A5A">
        <w:rPr>
          <w:vertAlign w:val="superscript"/>
        </w:rPr>
        <w:t>c)</w:t>
      </w:r>
      <w:r>
        <w:t>,</w:t>
      </w:r>
      <w:r w:rsidR="00CC3CDC">
        <w:t xml:space="preserve"> </w:t>
      </w:r>
      <w:r w:rsidR="00CC3CDC">
        <w:br/>
      </w:r>
      <w:proofErr w:type="spellStart"/>
      <w:r>
        <w:t>Khusan</w:t>
      </w:r>
      <w:proofErr w:type="spellEnd"/>
      <w:r>
        <w:t xml:space="preserve"> Kosimov</w:t>
      </w:r>
      <w:r w:rsidRPr="009A4C5B">
        <w:rPr>
          <w:vertAlign w:val="superscript"/>
        </w:rPr>
        <w:t>1</w:t>
      </w:r>
      <w:r w:rsidR="00CC3CDC">
        <w:t xml:space="preserve">, </w:t>
      </w:r>
      <w:proofErr w:type="spellStart"/>
      <w:r>
        <w:t>Nusratillo</w:t>
      </w:r>
      <w:proofErr w:type="spellEnd"/>
      <w:r>
        <w:t xml:space="preserve"> Abdullayev</w:t>
      </w:r>
      <w:r w:rsidRPr="009A4C5B">
        <w:rPr>
          <w:vertAlign w:val="superscript"/>
        </w:rPr>
        <w:t>1</w:t>
      </w:r>
      <w:r w:rsidR="00CC3CDC">
        <w:t xml:space="preserve"> and</w:t>
      </w:r>
      <w:r>
        <w:t xml:space="preserve"> You Taiwen</w:t>
      </w:r>
      <w:r w:rsidRPr="009A4C5B">
        <w:rPr>
          <w:vertAlign w:val="superscript"/>
        </w:rPr>
        <w:t>2</w:t>
      </w:r>
    </w:p>
    <w:p w14:paraId="771D6B6C" w14:textId="54AB9C1A" w:rsidR="00C14B14" w:rsidRPr="00CC3CDC" w:rsidRDefault="00CC3CDC" w:rsidP="00CC3CDC">
      <w:pPr>
        <w:pStyle w:val="AuthorAffiliation"/>
      </w:pPr>
      <w:bookmarkStart w:id="0" w:name="_Hlk207025474"/>
      <w:r w:rsidRPr="00CC3CDC">
        <w:rPr>
          <w:bCs/>
          <w:i w:val="0"/>
          <w:iCs/>
          <w:vertAlign w:val="superscript"/>
        </w:rPr>
        <w:t>1</w:t>
      </w:r>
      <w:r w:rsidRPr="00CC3CDC">
        <w:rPr>
          <w:bCs/>
        </w:rPr>
        <w:t xml:space="preserve">Tashkent State Transport University, 1 </w:t>
      </w:r>
      <w:proofErr w:type="spellStart"/>
      <w:r w:rsidRPr="00CC3CDC">
        <w:rPr>
          <w:bCs/>
        </w:rPr>
        <w:t>Temiryulchilar</w:t>
      </w:r>
      <w:proofErr w:type="spellEnd"/>
      <w:r w:rsidRPr="00CC3CDC">
        <w:rPr>
          <w:bCs/>
        </w:rPr>
        <w:t xml:space="preserve"> St., Tashkent 100167, Uzbekistan</w:t>
      </w:r>
      <w:bookmarkEnd w:id="0"/>
      <w:r w:rsidRPr="00CC3CDC">
        <w:rPr>
          <w:bCs/>
        </w:rPr>
        <w:br/>
      </w:r>
      <w:r w:rsidRPr="00CC3CDC">
        <w:rPr>
          <w:rStyle w:val="aa"/>
          <w:b w:val="0"/>
          <w:bCs w:val="0"/>
          <w:i w:val="0"/>
          <w:iCs/>
          <w:color w:val="505050"/>
          <w:vertAlign w:val="superscript"/>
        </w:rPr>
        <w:t>2</w:t>
      </w:r>
      <w:r w:rsidRPr="00CC3CDC">
        <w:rPr>
          <w:rStyle w:val="aa"/>
          <w:b w:val="0"/>
          <w:bCs w:val="0"/>
          <w:color w:val="505050"/>
        </w:rPr>
        <w:t xml:space="preserve">Lanzhou </w:t>
      </w:r>
      <w:proofErr w:type="spellStart"/>
      <w:r w:rsidRPr="00CC3CDC">
        <w:rPr>
          <w:rStyle w:val="aa"/>
          <w:b w:val="0"/>
          <w:bCs w:val="0"/>
          <w:color w:val="505050"/>
        </w:rPr>
        <w:t>Jiaotong</w:t>
      </w:r>
      <w:proofErr w:type="spellEnd"/>
      <w:r w:rsidRPr="00CC3CDC">
        <w:rPr>
          <w:rStyle w:val="aa"/>
          <w:b w:val="0"/>
          <w:bCs w:val="0"/>
          <w:color w:val="505050"/>
        </w:rPr>
        <w:t xml:space="preserve"> University, </w:t>
      </w:r>
      <w:r w:rsidRPr="00CC3CDC">
        <w:rPr>
          <w:rStyle w:val="typographytypographycrpwo"/>
          <w:color w:val="2E2E2E"/>
        </w:rPr>
        <w:t>No. 88 Anning West Road, Lanzhou, Gansu, China</w:t>
      </w:r>
    </w:p>
    <w:p w14:paraId="61EFF8EC" w14:textId="3CE6C637" w:rsidR="00BE2A5A" w:rsidRPr="00CC3CDC" w:rsidRDefault="00003D7C" w:rsidP="00CC3CDC">
      <w:pPr>
        <w:pStyle w:val="AuthorEmail"/>
        <w:spacing w:before="360" w:after="360"/>
        <w:rPr>
          <w:i/>
          <w:iCs/>
        </w:rPr>
      </w:pPr>
      <w:r w:rsidRPr="00CC3CDC">
        <w:rPr>
          <w:i/>
          <w:iCs/>
          <w:vertAlign w:val="superscript"/>
        </w:rPr>
        <w:t>a)</w:t>
      </w:r>
      <w:r w:rsidRPr="00CC3CDC">
        <w:rPr>
          <w:i/>
          <w:iCs/>
        </w:rPr>
        <w:t xml:space="preserve"> Corresponding</w:t>
      </w:r>
      <w:r w:rsidR="004E3CB2" w:rsidRPr="00CC3CDC">
        <w:rPr>
          <w:i/>
          <w:iCs/>
        </w:rPr>
        <w:t xml:space="preserve"> author: </w:t>
      </w:r>
      <w:r w:rsidR="00BE2A5A" w:rsidRPr="00CC3CDC">
        <w:rPr>
          <w:i/>
          <w:iCs/>
        </w:rPr>
        <w:t>sherzamin.tstu@gmail.com</w:t>
      </w:r>
      <w:r w:rsidR="001D469C" w:rsidRPr="00CC3CDC">
        <w:rPr>
          <w:i/>
          <w:iCs/>
        </w:rPr>
        <w:br/>
      </w:r>
      <w:r w:rsidR="00BE2A5A" w:rsidRPr="00CC3CDC">
        <w:rPr>
          <w:i/>
          <w:iCs/>
          <w:vertAlign w:val="superscript"/>
        </w:rPr>
        <w:t>b)</w:t>
      </w:r>
      <w:r w:rsidR="00BE2A5A" w:rsidRPr="00CC3CDC">
        <w:rPr>
          <w:i/>
          <w:iCs/>
        </w:rPr>
        <w:t xml:space="preserve"> </w:t>
      </w:r>
      <w:hyperlink r:id="rId9" w:history="1">
        <w:r w:rsidR="00CC3CDC" w:rsidRPr="00CC3CDC">
          <w:rPr>
            <w:rStyle w:val="a7"/>
            <w:i/>
            <w:iCs/>
            <w:color w:val="auto"/>
            <w:u w:val="none"/>
          </w:rPr>
          <w:t>nuriddin24@mail.ru</w:t>
        </w:r>
      </w:hyperlink>
      <w:r w:rsidR="00CC3CDC" w:rsidRPr="00CC3CDC">
        <w:rPr>
          <w:i/>
          <w:iCs/>
        </w:rPr>
        <w:br/>
      </w:r>
      <w:r w:rsidR="00BE2A5A" w:rsidRPr="00CC3CDC">
        <w:rPr>
          <w:i/>
          <w:iCs/>
          <w:vertAlign w:val="superscript"/>
        </w:rPr>
        <w:t>c)</w:t>
      </w:r>
      <w:r w:rsidR="00BE2A5A" w:rsidRPr="00CC3CDC">
        <w:rPr>
          <w:i/>
          <w:iCs/>
        </w:rPr>
        <w:t xml:space="preserve"> abdulazizyusufovv@bk.ru</w:t>
      </w:r>
    </w:p>
    <w:p w14:paraId="2B669AA0" w14:textId="3BA8E8B9" w:rsidR="00CC5680" w:rsidRDefault="0016385D" w:rsidP="00CC3CDC">
      <w:pPr>
        <w:pStyle w:val="Abstract"/>
      </w:pPr>
      <w:r w:rsidRPr="00075EA6">
        <w:rPr>
          <w:b/>
          <w:bCs/>
        </w:rPr>
        <w:t>Abstract.</w:t>
      </w:r>
      <w:r w:rsidRPr="00075EA6">
        <w:t xml:space="preserve"> </w:t>
      </w:r>
      <w:r w:rsidR="0016383D" w:rsidRPr="0016383D">
        <w:t xml:space="preserve">Objective: This study focuses on </w:t>
      </w:r>
      <w:r w:rsidR="007D7F8D" w:rsidRPr="0016383D">
        <w:t>analyzing</w:t>
      </w:r>
      <w:r w:rsidR="0016383D" w:rsidRPr="0016383D">
        <w:t xml:space="preserve"> the stress–strain state</w:t>
      </w:r>
      <w:r w:rsidR="003969E0">
        <w:t xml:space="preserve"> (SSS)</w:t>
      </w:r>
      <w:r w:rsidR="0016383D" w:rsidRPr="0016383D">
        <w:t xml:space="preserve"> of the main frame of the PE2U industrial traction unit’s control electric locomotive when subjected to static loading. The aim is to determine whether the structural performance meets the criteria outlined in current strength regulations and engineering standards. Methods: To meet the research objectives, the </w:t>
      </w:r>
      <w:r w:rsidR="003969E0">
        <w:t>SSS</w:t>
      </w:r>
      <w:r w:rsidR="003969E0" w:rsidRPr="0016383D">
        <w:t xml:space="preserve"> </w:t>
      </w:r>
      <w:r w:rsidR="0016383D" w:rsidRPr="0016383D">
        <w:t xml:space="preserve">of the main frame was </w:t>
      </w:r>
      <w:r w:rsidR="007D7F8D" w:rsidRPr="0016383D">
        <w:t>analyzed</w:t>
      </w:r>
      <w:r w:rsidR="0016383D" w:rsidRPr="0016383D">
        <w:t xml:space="preserve"> using the finite element method (FEM). The strength assessment was carried out by determining the allowable stress levels and evaluating the fatigue safety factor, in line with the requirements set by relevant engineering standards and regulations. Results: According to the results of the calculated </w:t>
      </w:r>
      <w:r w:rsidR="003969E0">
        <w:t>SSS</w:t>
      </w:r>
      <w:r w:rsidR="0016383D" w:rsidRPr="0016383D">
        <w:t xml:space="preserve">, the maximum stress in the frame structure was 59.23 MPa, which occurred in the zone of the vertical sheet and upper horizontal sheets of the cross-pivot beam. In this case, the fatigue safety factor was n = 5.1. Conclusion: The </w:t>
      </w:r>
      <w:r w:rsidR="003969E0">
        <w:t>SSS</w:t>
      </w:r>
      <w:r w:rsidR="003969E0" w:rsidRPr="0016383D">
        <w:t xml:space="preserve"> </w:t>
      </w:r>
      <w:r w:rsidR="0016383D" w:rsidRPr="0016383D">
        <w:t>of the main frame structure, calculated using the FEM, allowed for the assessment of its load distribution throughout the entire volume and identification of potentially hazardous zones. This information will serve as essential data for further research in developing recommendations to extend the service life of long-used traction units.</w:t>
      </w:r>
    </w:p>
    <w:p w14:paraId="22C3F2A8" w14:textId="5251E90E" w:rsidR="0016385D" w:rsidRPr="00075EA6" w:rsidRDefault="00CC5680" w:rsidP="00CC3CDC">
      <w:pPr>
        <w:pStyle w:val="Abstract"/>
        <w:spacing w:after="0"/>
      </w:pPr>
      <w:r w:rsidRPr="00CC5680">
        <w:rPr>
          <w:rFonts w:eastAsia="Times"/>
          <w:b/>
          <w:bCs/>
        </w:rPr>
        <w:t>Keywords:</w:t>
      </w:r>
      <w:r w:rsidRPr="00CC5680">
        <w:rPr>
          <w:rFonts w:eastAsia="Times"/>
        </w:rPr>
        <w:t xml:space="preserve"> Industrial electric locomotive, static strength, fatigue safety factor, FEA, FEM.</w:t>
      </w:r>
    </w:p>
    <w:p w14:paraId="5240E3FB" w14:textId="4E503448" w:rsidR="003A287B" w:rsidRPr="00075EA6" w:rsidRDefault="000C605C" w:rsidP="00CC3CDC">
      <w:pPr>
        <w:pStyle w:val="1"/>
        <w:rPr>
          <w:b w:val="0"/>
          <w:caps w:val="0"/>
          <w:sz w:val="20"/>
        </w:rPr>
      </w:pPr>
      <w:r w:rsidRPr="0042530D">
        <w:rPr>
          <w:rFonts w:eastAsia="Times"/>
          <w:szCs w:val="24"/>
        </w:rPr>
        <w:t>Introduction</w:t>
      </w:r>
    </w:p>
    <w:p w14:paraId="1BD9C775" w14:textId="5EB2EEF9" w:rsidR="000C605C" w:rsidRPr="0008334C" w:rsidRDefault="000C605C" w:rsidP="000C605C">
      <w:pPr>
        <w:pStyle w:val="Paragraph"/>
        <w:rPr>
          <w:rFonts w:eastAsia="Times"/>
        </w:rPr>
      </w:pPr>
      <w:r w:rsidRPr="0008334C">
        <w:rPr>
          <w:rFonts w:eastAsia="Times"/>
        </w:rPr>
        <w:t>Currently, a total of 75 PE2U industrial traction units are being utilized for ore transportation at enterprises such as JSC “Uzbekcoal” and JSC “Almalyk Mining and Metallurgical Combine” in the Republic of Uzbekistan [1</w:t>
      </w:r>
      <w:r w:rsidR="00CC3CDC">
        <w:rPr>
          <w:rFonts w:eastAsia="Times"/>
        </w:rPr>
        <w:t xml:space="preserve">, 2, </w:t>
      </w:r>
      <w:r w:rsidR="002458A7">
        <w:rPr>
          <w:rFonts w:eastAsia="Times"/>
        </w:rPr>
        <w:t>3</w:t>
      </w:r>
      <w:r w:rsidRPr="0008334C">
        <w:rPr>
          <w:rFonts w:eastAsia="Times"/>
        </w:rPr>
        <w:t>]. Over 70% of the traction units in operation have exceeded their designated service life, with many having been in use for more than 30-40 years. The PE2U traction unit is considered an industrial electric locomotive, consisting of one control electric locomotive and two motor dump cars, designed for operation on mining railways electrified with a direct current of 1500V or 3000V [2].</w:t>
      </w:r>
    </w:p>
    <w:p w14:paraId="0CC5A6C1" w14:textId="1988FCD4" w:rsidR="000C605C" w:rsidRPr="0008334C" w:rsidRDefault="000C605C" w:rsidP="000C605C">
      <w:pPr>
        <w:pStyle w:val="Paragraph"/>
        <w:rPr>
          <w:rFonts w:eastAsia="Times"/>
        </w:rPr>
      </w:pPr>
      <w:r w:rsidRPr="0008334C">
        <w:rPr>
          <w:rFonts w:eastAsia="Times"/>
        </w:rPr>
        <w:t>It is well known that for each manufactured vehicle, a warranty period is established by the manufacturer. During the specified warranty period, vehicles must meet the requirements for parameters such as safety, reliability, and quality. The manufacturer's warranty service life for traction units of PE2M, PE2U, and MPE2U types is 24 years [2]. Experience shows that the total service life of railway rolling stock can exceed the warranty period established by the manufacturer. This can be determined through the development of diagnostic systems for railway transport vehicles and continuous monitoring of their technical condition [</w:t>
      </w:r>
      <w:r w:rsidR="0027428D">
        <w:rPr>
          <w:rFonts w:eastAsia="Times"/>
        </w:rPr>
        <w:t>4</w:t>
      </w:r>
      <w:r w:rsidR="00B40809">
        <w:rPr>
          <w:rFonts w:eastAsia="Times"/>
        </w:rPr>
        <w:t xml:space="preserve">, 5, </w:t>
      </w:r>
      <w:r w:rsidR="0027428D">
        <w:rPr>
          <w:rFonts w:eastAsia="Times"/>
        </w:rPr>
        <w:t>6</w:t>
      </w:r>
      <w:r w:rsidRPr="0008334C">
        <w:rPr>
          <w:rFonts w:eastAsia="Times"/>
        </w:rPr>
        <w:t>].</w:t>
      </w:r>
    </w:p>
    <w:p w14:paraId="159AE606" w14:textId="31C43414" w:rsidR="000C605C" w:rsidRPr="0008334C" w:rsidRDefault="000C605C" w:rsidP="000C605C">
      <w:pPr>
        <w:pStyle w:val="Paragraph"/>
        <w:rPr>
          <w:rFonts w:eastAsia="Times"/>
        </w:rPr>
      </w:pPr>
      <w:r w:rsidRPr="0008334C">
        <w:rPr>
          <w:rFonts w:eastAsia="Times"/>
        </w:rPr>
        <w:t>Frame structures of locomotives are continuously subjected to periodically varying loads during operation [</w:t>
      </w:r>
      <w:r w:rsidR="00C44AC6">
        <w:rPr>
          <w:rFonts w:eastAsia="Times"/>
        </w:rPr>
        <w:t>7</w:t>
      </w:r>
      <w:r w:rsidR="00B40809">
        <w:rPr>
          <w:rFonts w:eastAsia="Times"/>
        </w:rPr>
        <w:t xml:space="preserve">, 8, 9, 10, </w:t>
      </w:r>
      <w:r w:rsidR="00D51675">
        <w:rPr>
          <w:rFonts w:eastAsia="Times"/>
        </w:rPr>
        <w:t>11</w:t>
      </w:r>
      <w:r w:rsidRPr="0008334C">
        <w:rPr>
          <w:rFonts w:eastAsia="Times"/>
        </w:rPr>
        <w:t>]. Depending on the operating conditions and intensity of use of traction units, the material of their frame structures undergoes degradation to varying degrees. Calculating the</w:t>
      </w:r>
      <w:r w:rsidR="003969E0">
        <w:rPr>
          <w:rFonts w:eastAsia="Times"/>
        </w:rPr>
        <w:t xml:space="preserve"> </w:t>
      </w:r>
      <w:r w:rsidRPr="0008334C">
        <w:rPr>
          <w:rFonts w:eastAsia="Times"/>
        </w:rPr>
        <w:t>SSS of frame structures, identifying highly loaded zones, and assessing fatigue strength can serve as a foundation for ensuring safety during the subsequent operation of long-used traction units.</w:t>
      </w:r>
    </w:p>
    <w:p w14:paraId="72773896" w14:textId="2B87E1C6" w:rsidR="000C605C" w:rsidRPr="0008334C" w:rsidRDefault="000C605C" w:rsidP="000C605C">
      <w:pPr>
        <w:pStyle w:val="Paragraph"/>
        <w:rPr>
          <w:rFonts w:eastAsia="Times"/>
        </w:rPr>
      </w:pPr>
      <w:r w:rsidRPr="002A7687">
        <w:rPr>
          <w:rFonts w:eastAsia="Times"/>
        </w:rPr>
        <w:t xml:space="preserve">The operational safety and reliability of industrial traction units, particularly when exposed to high-intensity loads, are closely linked to the structural integrity of their main frame elements. A thorough strength evaluation of the control locomotive’s main frame is crucial for ensuring stable performance and extended service life. As outlined in regulations </w:t>
      </w:r>
      <w:r w:rsidRPr="002A7687">
        <w:rPr>
          <w:rFonts w:eastAsia="Times"/>
        </w:rPr>
        <w:lastRenderedPageBreak/>
        <w:t xml:space="preserve">concerning the lifespan extension of traction rolling stock, one of the primary strength assessment approaches involves </w:t>
      </w:r>
      <w:r w:rsidR="007D7F8D" w:rsidRPr="002A7687">
        <w:rPr>
          <w:rFonts w:eastAsia="Times"/>
        </w:rPr>
        <w:t>analyzing</w:t>
      </w:r>
      <w:r w:rsidRPr="002A7687">
        <w:rPr>
          <w:rFonts w:eastAsia="Times"/>
        </w:rPr>
        <w:t xml:space="preserve"> the static resistance of the frame structure</w:t>
      </w:r>
      <w:r w:rsidRPr="0008334C">
        <w:rPr>
          <w:rFonts w:eastAsia="Times"/>
        </w:rPr>
        <w:t>.</w:t>
      </w:r>
    </w:p>
    <w:p w14:paraId="56B829C5" w14:textId="063167D5" w:rsidR="003F31C6" w:rsidRDefault="000C605C" w:rsidP="000C605C">
      <w:pPr>
        <w:pStyle w:val="Paragraph"/>
      </w:pPr>
      <w:r w:rsidRPr="0008334C">
        <w:rPr>
          <w:rFonts w:eastAsia="Times"/>
        </w:rPr>
        <w:t>A scientifically grounded assessment of the residual resource of traction units in use and extending their service life will allow for their continued effective utilization during the period leading up to the renewal of the traction unit fleet. This, in turn, enables industrial enterprises to conserve their foreign currency funds for a certain period of time</w:t>
      </w:r>
      <w:r w:rsidRPr="0042530D">
        <w:rPr>
          <w:rFonts w:eastAsia="Times"/>
        </w:rPr>
        <w:t>.</w:t>
      </w:r>
    </w:p>
    <w:p w14:paraId="476716D8" w14:textId="3D46ABF1" w:rsidR="000C605C" w:rsidRDefault="000C605C" w:rsidP="000C605C">
      <w:pPr>
        <w:pStyle w:val="1"/>
        <w:rPr>
          <w:rFonts w:eastAsia="Times"/>
        </w:rPr>
      </w:pPr>
      <w:r w:rsidRPr="00A14E49">
        <w:rPr>
          <w:rFonts w:eastAsia="Times"/>
        </w:rPr>
        <w:t>Literature review</w:t>
      </w:r>
    </w:p>
    <w:p w14:paraId="50E751A4" w14:textId="40049D32" w:rsidR="000C605C" w:rsidRPr="008960FC" w:rsidRDefault="000C605C" w:rsidP="000C605C">
      <w:pPr>
        <w:pStyle w:val="Paragraph"/>
        <w:rPr>
          <w:rFonts w:eastAsia="Times"/>
        </w:rPr>
      </w:pPr>
      <w:r w:rsidRPr="008960FC">
        <w:rPr>
          <w:rFonts w:eastAsia="Times"/>
        </w:rPr>
        <w:t>The SSS assessment of frame structures can be carried out using strain gauge or FEA methods. Today, FEA or FEM is considered the primary tool for strength calculations among millions of engineers [</w:t>
      </w:r>
      <w:r w:rsidR="009A07BA">
        <w:rPr>
          <w:rFonts w:eastAsia="Times"/>
        </w:rPr>
        <w:t>12</w:t>
      </w:r>
      <w:r w:rsidRPr="008960FC">
        <w:rPr>
          <w:rFonts w:eastAsia="Times"/>
        </w:rPr>
        <w:t>]. According to the requirements of standards regulating locomotive strength and various regulatory documents on strength calculations, it is recommended to perform structural analysis of their load-bearing structures using FEM [</w:t>
      </w:r>
      <w:r w:rsidR="009A07BA">
        <w:rPr>
          <w:rFonts w:eastAsia="Times"/>
        </w:rPr>
        <w:t>13</w:t>
      </w:r>
      <w:r w:rsidRPr="008960FC">
        <w:rPr>
          <w:rFonts w:eastAsia="Times"/>
        </w:rPr>
        <w:t xml:space="preserve">]. </w:t>
      </w:r>
      <w:r w:rsidRPr="001E3091">
        <w:rPr>
          <w:rFonts w:eastAsia="Times"/>
        </w:rPr>
        <w:t xml:space="preserve">European standards such as EN 12663-1 and EN 13749 explicitly mandate the application of the finite element method (FEM) in the structural strength analysis of complex load-bearing frames in locomotives. These standards </w:t>
      </w:r>
      <w:r w:rsidR="007D7F8D" w:rsidRPr="001E3091">
        <w:rPr>
          <w:rFonts w:eastAsia="Times"/>
        </w:rPr>
        <w:t>emphasize</w:t>
      </w:r>
      <w:r w:rsidRPr="001E3091">
        <w:rPr>
          <w:rFonts w:eastAsia="Times"/>
        </w:rPr>
        <w:t xml:space="preserve"> the importance of advanced computational methods to ensure accurate and reliable assessment of mechanical performance</w:t>
      </w:r>
      <w:r w:rsidRPr="008960FC">
        <w:rPr>
          <w:rFonts w:eastAsia="Times"/>
        </w:rPr>
        <w:t xml:space="preserve">. Considering this, FEM is a widely used digital calculation method in modern locomotive manufacturing and is actively used by the broader scientific community for </w:t>
      </w:r>
      <w:r w:rsidR="007D7F8D" w:rsidRPr="008960FC">
        <w:rPr>
          <w:rFonts w:eastAsia="Times"/>
        </w:rPr>
        <w:t>analyzing</w:t>
      </w:r>
      <w:r w:rsidRPr="008960FC">
        <w:rPr>
          <w:rFonts w:eastAsia="Times"/>
        </w:rPr>
        <w:t xml:space="preserve"> complex load-bearing frame structures of locomotives. Specifically, Kassner [</w:t>
      </w:r>
      <w:r w:rsidR="009A07BA">
        <w:rPr>
          <w:rFonts w:eastAsia="Times"/>
        </w:rPr>
        <w:t>14</w:t>
      </w:r>
      <w:r w:rsidRPr="008960FC">
        <w:rPr>
          <w:rFonts w:eastAsia="Times"/>
        </w:rPr>
        <w:t>] and Chen et al. [</w:t>
      </w:r>
      <w:r w:rsidR="009A07BA">
        <w:rPr>
          <w:rFonts w:eastAsia="Times"/>
        </w:rPr>
        <w:t>15</w:t>
      </w:r>
      <w:r w:rsidRPr="008960FC">
        <w:rPr>
          <w:rFonts w:eastAsia="Times"/>
        </w:rPr>
        <w:t xml:space="preserve">] evaluated the bogie frame strength according to EN 13749 requirements using various methods, including FEM. </w:t>
      </w:r>
      <w:r w:rsidRPr="000421BF">
        <w:rPr>
          <w:rFonts w:eastAsia="Times"/>
        </w:rPr>
        <w:t>In their studies on extending the operational lifespan of TEM2 shunting locomotives, Yusufov et al. [</w:t>
      </w:r>
      <w:r w:rsidR="009A07BA" w:rsidRPr="009A07BA">
        <w:rPr>
          <w:rFonts w:eastAsia="Times"/>
        </w:rPr>
        <w:t>16</w:t>
      </w:r>
      <w:r w:rsidR="00B40809">
        <w:rPr>
          <w:rFonts w:eastAsia="Times"/>
        </w:rPr>
        <w:t xml:space="preserve">, 17, </w:t>
      </w:r>
      <w:r w:rsidRPr="009A07BA">
        <w:rPr>
          <w:rFonts w:eastAsia="Times"/>
        </w:rPr>
        <w:t>1</w:t>
      </w:r>
      <w:r w:rsidR="009A07BA">
        <w:rPr>
          <w:rFonts w:eastAsia="Times"/>
        </w:rPr>
        <w:t>8</w:t>
      </w:r>
      <w:r w:rsidRPr="000421BF">
        <w:rPr>
          <w:rFonts w:eastAsia="Times"/>
        </w:rPr>
        <w:t xml:space="preserve">] </w:t>
      </w:r>
      <w:r w:rsidR="007D7F8D" w:rsidRPr="000421BF">
        <w:rPr>
          <w:rFonts w:eastAsia="Times"/>
        </w:rPr>
        <w:t>analyzed</w:t>
      </w:r>
      <w:r w:rsidRPr="000421BF">
        <w:rPr>
          <w:rFonts w:eastAsia="Times"/>
        </w:rPr>
        <w:t xml:space="preserve"> the structural strength of key load-bearing components</w:t>
      </w:r>
      <w:r>
        <w:rPr>
          <w:rFonts w:eastAsia="Times"/>
        </w:rPr>
        <w:t xml:space="preserve"> – </w:t>
      </w:r>
      <w:r w:rsidRPr="000421BF">
        <w:rPr>
          <w:rFonts w:eastAsia="Times"/>
        </w:rPr>
        <w:t>such as the main frame and bogie frames</w:t>
      </w:r>
      <w:r>
        <w:rPr>
          <w:rFonts w:eastAsia="Times"/>
        </w:rPr>
        <w:t xml:space="preserve"> – </w:t>
      </w:r>
      <w:r w:rsidRPr="000421BF">
        <w:rPr>
          <w:rFonts w:eastAsia="Times"/>
        </w:rPr>
        <w:t>using SolidWorks Simulation tools. Their approach focused on evaluating residual life through numerical modelling techniques.</w:t>
      </w:r>
      <w:r>
        <w:rPr>
          <w:rFonts w:eastAsia="Times"/>
        </w:rPr>
        <w:t xml:space="preserve"> </w:t>
      </w:r>
      <w:r w:rsidRPr="008960FC">
        <w:rPr>
          <w:rFonts w:eastAsia="Times"/>
        </w:rPr>
        <w:t>Fomin et al. [</w:t>
      </w:r>
      <w:r w:rsidR="009A07BA">
        <w:rPr>
          <w:rFonts w:eastAsia="Times"/>
        </w:rPr>
        <w:t>19</w:t>
      </w:r>
      <w:r w:rsidRPr="008960FC">
        <w:rPr>
          <w:rFonts w:eastAsia="Times"/>
        </w:rPr>
        <w:t xml:space="preserve">] used FEM to determine dynamic loads on the frame of a composite tank car. </w:t>
      </w:r>
      <w:proofErr w:type="spellStart"/>
      <w:r w:rsidRPr="000421BF">
        <w:rPr>
          <w:rFonts w:eastAsia="Times"/>
        </w:rPr>
        <w:t>Koshel</w:t>
      </w:r>
      <w:proofErr w:type="spellEnd"/>
      <w:r w:rsidRPr="000421BF">
        <w:rPr>
          <w:rFonts w:eastAsia="Times"/>
        </w:rPr>
        <w:t xml:space="preserve"> et al. [</w:t>
      </w:r>
      <w:r w:rsidR="00B40809">
        <w:rPr>
          <w:rFonts w:eastAsia="Times"/>
        </w:rPr>
        <w:t>20</w:t>
      </w:r>
      <w:r w:rsidRPr="000421BF">
        <w:rPr>
          <w:rFonts w:eastAsia="Times"/>
        </w:rPr>
        <w:t xml:space="preserve">] conducted a strength analysis of the load-bearing structures of </w:t>
      </w:r>
      <w:r w:rsidR="007D7F8D" w:rsidRPr="000421BF">
        <w:rPr>
          <w:rFonts w:eastAsia="Times"/>
        </w:rPr>
        <w:t>specialized</w:t>
      </w:r>
      <w:r w:rsidRPr="000421BF">
        <w:rPr>
          <w:rFonts w:eastAsia="Times"/>
        </w:rPr>
        <w:t xml:space="preserve"> rolling stock by employing SolidWorks Simulation software, enabling the evaluation of their mechanical performance under operational loads.</w:t>
      </w:r>
      <w:r>
        <w:rPr>
          <w:rFonts w:eastAsia="Times"/>
        </w:rPr>
        <w:t xml:space="preserve"> </w:t>
      </w:r>
      <w:r w:rsidRPr="008960FC">
        <w:rPr>
          <w:rFonts w:eastAsia="Times"/>
        </w:rPr>
        <w:t>Seo et al. [</w:t>
      </w:r>
      <w:r w:rsidR="009A07BA">
        <w:rPr>
          <w:rFonts w:eastAsia="Times"/>
        </w:rPr>
        <w:t>21</w:t>
      </w:r>
      <w:r w:rsidRPr="008960FC">
        <w:rPr>
          <w:rFonts w:eastAsia="Times"/>
        </w:rPr>
        <w:t xml:space="preserve">] applied FEM to calculate potential residual stresses in various repair options for weld seams of welded bogie frames. </w:t>
      </w:r>
      <w:proofErr w:type="spellStart"/>
      <w:r w:rsidRPr="000421BF">
        <w:rPr>
          <w:rFonts w:eastAsia="Times"/>
        </w:rPr>
        <w:t>Mukhamedova</w:t>
      </w:r>
      <w:proofErr w:type="spellEnd"/>
      <w:r w:rsidRPr="000421BF">
        <w:rPr>
          <w:rFonts w:eastAsia="Times"/>
        </w:rPr>
        <w:t xml:space="preserve"> et al. [</w:t>
      </w:r>
      <w:r w:rsidR="009A07BA">
        <w:rPr>
          <w:rFonts w:eastAsia="Times"/>
        </w:rPr>
        <w:t>22</w:t>
      </w:r>
      <w:r w:rsidRPr="000421BF">
        <w:rPr>
          <w:rFonts w:eastAsia="Times"/>
        </w:rPr>
        <w:t xml:space="preserve">] investigated the strength characteristics of the support structures in the ADM-1 </w:t>
      </w:r>
      <w:r w:rsidR="007D7F8D" w:rsidRPr="000421BF">
        <w:rPr>
          <w:rFonts w:eastAsia="Times"/>
        </w:rPr>
        <w:t>specialized</w:t>
      </w:r>
      <w:r w:rsidRPr="000421BF">
        <w:rPr>
          <w:rFonts w:eastAsia="Times"/>
        </w:rPr>
        <w:t xml:space="preserve"> self-propelled rolling stock. Their study involved finite element analysis performed in Ansys, enabling detailed assessment of structural </w:t>
      </w:r>
      <w:r w:rsidR="007D7F8D" w:rsidRPr="000421BF">
        <w:rPr>
          <w:rFonts w:eastAsia="Times"/>
        </w:rPr>
        <w:t>behavior</w:t>
      </w:r>
      <w:r w:rsidRPr="000421BF">
        <w:rPr>
          <w:rFonts w:eastAsia="Times"/>
        </w:rPr>
        <w:t xml:space="preserve"> under loading conditions.</w:t>
      </w:r>
      <w:r>
        <w:rPr>
          <w:rFonts w:eastAsia="Times"/>
        </w:rPr>
        <w:t xml:space="preserve"> </w:t>
      </w:r>
      <w:r w:rsidRPr="008960FC">
        <w:rPr>
          <w:rFonts w:eastAsia="Times"/>
        </w:rPr>
        <w:t>According to research by Miao et al. [</w:t>
      </w:r>
      <w:r w:rsidR="009A07BA">
        <w:rPr>
          <w:rFonts w:eastAsia="Times"/>
        </w:rPr>
        <w:t>23</w:t>
      </w:r>
      <w:r w:rsidRPr="008960FC">
        <w:rPr>
          <w:rFonts w:eastAsia="Times"/>
        </w:rPr>
        <w:t>], the difference in values obtained by FEM and strain gauging methods did not exceed an average of 7.2%. This is considered an acceptable relative error for engineering calculations.</w:t>
      </w:r>
    </w:p>
    <w:p w14:paraId="5061E1E3" w14:textId="5525A202" w:rsidR="000C605C" w:rsidRDefault="000C605C" w:rsidP="000C605C">
      <w:pPr>
        <w:pStyle w:val="Paragraph"/>
        <w:rPr>
          <w:rFonts w:eastAsia="Times"/>
        </w:rPr>
      </w:pPr>
      <w:r w:rsidRPr="008960FC">
        <w:rPr>
          <w:rFonts w:eastAsia="Times"/>
        </w:rPr>
        <w:t>Bondarev et al. [</w:t>
      </w:r>
      <w:r w:rsidRPr="009A07BA">
        <w:rPr>
          <w:rFonts w:eastAsia="Times"/>
        </w:rPr>
        <w:t>2</w:t>
      </w:r>
      <w:r w:rsidR="009A07BA">
        <w:rPr>
          <w:rFonts w:eastAsia="Times"/>
        </w:rPr>
        <w:t>4</w:t>
      </w:r>
      <w:r w:rsidRPr="009A07BA">
        <w:rPr>
          <w:rFonts w:eastAsia="Times"/>
        </w:rPr>
        <w:t>, 2</w:t>
      </w:r>
      <w:r w:rsidR="009A07BA">
        <w:rPr>
          <w:rFonts w:eastAsia="Times"/>
        </w:rPr>
        <w:t>5</w:t>
      </w:r>
      <w:r w:rsidRPr="008960FC">
        <w:rPr>
          <w:rFonts w:eastAsia="Times"/>
        </w:rPr>
        <w:t xml:space="preserve">] addressed issues of assessing strength, determining residual life, and extending the service life of traction units used in the mining industry. They substantiated the possibility of extending the service life of OPE1A type traction unit frame structures based on strength indicators. </w:t>
      </w:r>
      <w:proofErr w:type="spellStart"/>
      <w:r w:rsidRPr="008960FC">
        <w:rPr>
          <w:rFonts w:eastAsia="Times"/>
        </w:rPr>
        <w:t>Bannikov</w:t>
      </w:r>
      <w:proofErr w:type="spellEnd"/>
      <w:r w:rsidRPr="008960FC">
        <w:rPr>
          <w:rFonts w:eastAsia="Times"/>
        </w:rPr>
        <w:t xml:space="preserve"> et al. [</w:t>
      </w:r>
      <w:r w:rsidR="009A07BA">
        <w:rPr>
          <w:rFonts w:eastAsia="Times"/>
        </w:rPr>
        <w:t>26</w:t>
      </w:r>
      <w:r w:rsidRPr="008960FC">
        <w:rPr>
          <w:rFonts w:eastAsia="Times"/>
        </w:rPr>
        <w:t>] worked on modernizing PE2U traction units by improving the strength indicators of the control electric locomotive’s main frame. They developed modernization proposals to increase the strength of the main frame buffer beam and the automatic coupler assembly against longitudinal collision forces. However, they calculated the SSS of only the buffer beam using SCAD software, not the full-scale model of the main frame structure. This approach does not allow for a comprehensive assessment of the full-scale model’s strength indicators. In this study, we assess the static strength of the full-scale frame structure in accordance with GOST 34939 requirements, which is a regulatory document, and thereby evaluate the main frame’s strength indicators based on the fatigue safety factor.</w:t>
      </w:r>
    </w:p>
    <w:p w14:paraId="72C4D2F5" w14:textId="06C12B5B" w:rsidR="008E3CDA" w:rsidRDefault="008E3CDA" w:rsidP="008E3CDA">
      <w:pPr>
        <w:pStyle w:val="1"/>
      </w:pPr>
      <w:r w:rsidRPr="008E3CDA">
        <w:t>Materials and Methods</w:t>
      </w:r>
    </w:p>
    <w:p w14:paraId="177A1566" w14:textId="50D34821" w:rsidR="008E3CDA" w:rsidRPr="0042530D" w:rsidRDefault="008E3CDA" w:rsidP="00744FD0">
      <w:pPr>
        <w:pStyle w:val="2"/>
      </w:pPr>
      <w:r w:rsidRPr="008960FC">
        <w:rPr>
          <w:rFonts w:eastAsia="Times"/>
        </w:rPr>
        <w:t xml:space="preserve">Object </w:t>
      </w:r>
      <w:r w:rsidR="00B40809">
        <w:rPr>
          <w:rFonts w:eastAsia="Times"/>
        </w:rPr>
        <w:t>o</w:t>
      </w:r>
      <w:r w:rsidR="004F493A" w:rsidRPr="008960FC">
        <w:rPr>
          <w:rFonts w:eastAsia="Times"/>
        </w:rPr>
        <w:t>f Research</w:t>
      </w:r>
    </w:p>
    <w:p w14:paraId="2E043CC7" w14:textId="1A4880AF" w:rsidR="000C605C" w:rsidRPr="007D7F8D" w:rsidRDefault="008E3CDA" w:rsidP="007D7F8D">
      <w:pPr>
        <w:pStyle w:val="Paragraph"/>
      </w:pPr>
      <w:r w:rsidRPr="007D7F8D">
        <w:t xml:space="preserve">This study focuses on the main frame of the PE2U control electric locomotive, a key structural component of the traction unit. The frame is assembled using welded steel profiles and constructed from low-alloy structural rolled steel, specifically grade 09G2. The mechanical and physical properties of the material are </w:t>
      </w:r>
      <w:r w:rsidR="00744FD0" w:rsidRPr="007D7F8D">
        <w:t>summarized</w:t>
      </w:r>
      <w:r w:rsidRPr="007D7F8D">
        <w:t xml:space="preserve"> in Table 1.</w:t>
      </w:r>
    </w:p>
    <w:tbl>
      <w:tblPr>
        <w:tblW w:w="5000" w:type="pct"/>
        <w:jc w:val="center"/>
        <w:tblBorders>
          <w:bottom w:val="single" w:sz="4" w:space="0" w:color="auto"/>
        </w:tblBorders>
        <w:tblLayout w:type="fixed"/>
        <w:tblLook w:val="0000" w:firstRow="0" w:lastRow="0" w:firstColumn="0" w:lastColumn="0" w:noHBand="0" w:noVBand="0"/>
      </w:tblPr>
      <w:tblGrid>
        <w:gridCol w:w="1385"/>
        <w:gridCol w:w="1384"/>
        <w:gridCol w:w="1486"/>
        <w:gridCol w:w="1468"/>
        <w:gridCol w:w="1174"/>
        <w:gridCol w:w="1467"/>
        <w:gridCol w:w="1325"/>
      </w:tblGrid>
      <w:tr w:rsidR="00744FD0" w:rsidRPr="007D7F8D" w14:paraId="3B3B8DD5" w14:textId="3C652277" w:rsidTr="00B40809">
        <w:trPr>
          <w:cantSplit/>
          <w:trHeight w:val="80"/>
          <w:jc w:val="center"/>
        </w:trPr>
        <w:tc>
          <w:tcPr>
            <w:tcW w:w="9689" w:type="dxa"/>
            <w:gridSpan w:val="7"/>
            <w:tcBorders>
              <w:bottom w:val="nil"/>
            </w:tcBorders>
          </w:tcPr>
          <w:p w14:paraId="0EE8168F" w14:textId="54830C67" w:rsidR="00744FD0" w:rsidRPr="007D7F8D" w:rsidRDefault="00744FD0" w:rsidP="00B40809">
            <w:pPr>
              <w:pStyle w:val="TableCaption"/>
              <w:rPr>
                <w:b/>
              </w:rPr>
            </w:pPr>
            <w:r w:rsidRPr="007D7F8D">
              <w:rPr>
                <w:b/>
              </w:rPr>
              <w:t xml:space="preserve">TABLE 1. </w:t>
            </w:r>
            <w:r w:rsidR="00932EF0" w:rsidRPr="007D7F8D">
              <w:rPr>
                <w:rFonts w:eastAsia="Times"/>
              </w:rPr>
              <w:t>Materials properties</w:t>
            </w:r>
          </w:p>
        </w:tc>
      </w:tr>
      <w:tr w:rsidR="00744FD0" w:rsidRPr="007D7F8D" w14:paraId="26B1DD21" w14:textId="78B631EE" w:rsidTr="00B40809">
        <w:trPr>
          <w:cantSplit/>
          <w:trHeight w:val="70"/>
          <w:jc w:val="center"/>
        </w:trPr>
        <w:tc>
          <w:tcPr>
            <w:tcW w:w="1385" w:type="dxa"/>
            <w:tcBorders>
              <w:top w:val="single" w:sz="4" w:space="0" w:color="auto"/>
              <w:bottom w:val="single" w:sz="4" w:space="0" w:color="auto"/>
            </w:tcBorders>
          </w:tcPr>
          <w:p w14:paraId="76BD0808" w14:textId="03C1EBBB" w:rsidR="00744FD0" w:rsidRPr="007D7F8D" w:rsidRDefault="00744FD0" w:rsidP="007D7F8D">
            <w:pPr>
              <w:pStyle w:val="TableCaption"/>
              <w:spacing w:before="0"/>
              <w:rPr>
                <w:b/>
              </w:rPr>
            </w:pPr>
            <w:r w:rsidRPr="007D7F8D">
              <w:rPr>
                <w:b/>
              </w:rPr>
              <w:t>Thickness</w:t>
            </w:r>
            <w:r w:rsidRPr="007D7F8D">
              <w:rPr>
                <w:b/>
              </w:rPr>
              <w:br/>
              <w:t>[mm]</w:t>
            </w:r>
          </w:p>
        </w:tc>
        <w:tc>
          <w:tcPr>
            <w:tcW w:w="1384" w:type="dxa"/>
            <w:tcBorders>
              <w:top w:val="single" w:sz="4" w:space="0" w:color="auto"/>
              <w:bottom w:val="single" w:sz="4" w:space="0" w:color="auto"/>
            </w:tcBorders>
          </w:tcPr>
          <w:p w14:paraId="6D737838" w14:textId="0D440EE1" w:rsidR="00744FD0" w:rsidRPr="007D7F8D" w:rsidRDefault="00744FD0" w:rsidP="007D7F8D">
            <w:pPr>
              <w:pStyle w:val="TableCaption"/>
              <w:spacing w:before="0"/>
              <w:rPr>
                <w:b/>
              </w:rPr>
            </w:pPr>
            <w:r w:rsidRPr="007D7F8D">
              <w:rPr>
                <w:b/>
              </w:rPr>
              <w:t>Yield strength</w:t>
            </w:r>
            <w:r w:rsidRPr="007D7F8D">
              <w:rPr>
                <w:b/>
              </w:rPr>
              <w:br/>
              <w:t>[MPa]</w:t>
            </w:r>
          </w:p>
        </w:tc>
        <w:tc>
          <w:tcPr>
            <w:tcW w:w="1486" w:type="dxa"/>
            <w:tcBorders>
              <w:top w:val="single" w:sz="4" w:space="0" w:color="auto"/>
              <w:bottom w:val="single" w:sz="4" w:space="0" w:color="auto"/>
            </w:tcBorders>
          </w:tcPr>
          <w:p w14:paraId="38A49B9F" w14:textId="6FBD843C" w:rsidR="00744FD0" w:rsidRPr="007D7F8D" w:rsidRDefault="00744FD0" w:rsidP="007D7F8D">
            <w:pPr>
              <w:pStyle w:val="TableCaption"/>
              <w:spacing w:before="0"/>
              <w:rPr>
                <w:b/>
              </w:rPr>
            </w:pPr>
            <w:r w:rsidRPr="007D7F8D">
              <w:rPr>
                <w:b/>
              </w:rPr>
              <w:t>Tensile strength [MPa]</w:t>
            </w:r>
          </w:p>
        </w:tc>
        <w:tc>
          <w:tcPr>
            <w:tcW w:w="1468" w:type="dxa"/>
            <w:tcBorders>
              <w:top w:val="single" w:sz="4" w:space="0" w:color="auto"/>
              <w:bottom w:val="single" w:sz="4" w:space="0" w:color="auto"/>
            </w:tcBorders>
          </w:tcPr>
          <w:p w14:paraId="0FADB151" w14:textId="05D0AC00" w:rsidR="00744FD0" w:rsidRPr="007D7F8D" w:rsidRDefault="00744FD0" w:rsidP="007D7F8D">
            <w:pPr>
              <w:pStyle w:val="TableCaption"/>
              <w:spacing w:before="0"/>
              <w:rPr>
                <w:b/>
              </w:rPr>
            </w:pPr>
            <w:r w:rsidRPr="007D7F8D">
              <w:rPr>
                <w:b/>
              </w:rPr>
              <w:t>Relative elongation [%]</w:t>
            </w:r>
          </w:p>
        </w:tc>
        <w:tc>
          <w:tcPr>
            <w:tcW w:w="1174" w:type="dxa"/>
            <w:tcBorders>
              <w:top w:val="single" w:sz="4" w:space="0" w:color="auto"/>
              <w:bottom w:val="single" w:sz="4" w:space="0" w:color="auto"/>
            </w:tcBorders>
          </w:tcPr>
          <w:p w14:paraId="4CEA0B13" w14:textId="1B644E40" w:rsidR="00744FD0" w:rsidRPr="007D7F8D" w:rsidRDefault="00744FD0" w:rsidP="007D7F8D">
            <w:pPr>
              <w:pStyle w:val="TableCaption"/>
              <w:spacing w:before="0"/>
              <w:rPr>
                <w:b/>
              </w:rPr>
            </w:pPr>
            <w:r w:rsidRPr="007D7F8D">
              <w:rPr>
                <w:b/>
              </w:rPr>
              <w:t>Endurance limit [MPa]</w:t>
            </w:r>
          </w:p>
        </w:tc>
        <w:tc>
          <w:tcPr>
            <w:tcW w:w="1467" w:type="dxa"/>
            <w:tcBorders>
              <w:top w:val="single" w:sz="4" w:space="0" w:color="auto"/>
              <w:bottom w:val="single" w:sz="4" w:space="0" w:color="auto"/>
            </w:tcBorders>
          </w:tcPr>
          <w:p w14:paraId="49B7AE98" w14:textId="1585F9DB" w:rsidR="00744FD0" w:rsidRPr="007D7F8D" w:rsidRDefault="00744FD0" w:rsidP="007D7F8D">
            <w:pPr>
              <w:pStyle w:val="TableCaption"/>
              <w:spacing w:before="0"/>
              <w:rPr>
                <w:b/>
              </w:rPr>
            </w:pPr>
            <w:r w:rsidRPr="007D7F8D">
              <w:rPr>
                <w:b/>
              </w:rPr>
              <w:t>Young’s modulus</w:t>
            </w:r>
            <w:r w:rsidR="00932EF0" w:rsidRPr="007D7F8D">
              <w:rPr>
                <w:b/>
              </w:rPr>
              <w:t xml:space="preserve"> </w:t>
            </w:r>
            <w:r w:rsidRPr="007D7F8D">
              <w:rPr>
                <w:b/>
              </w:rPr>
              <w:t>[GPa]</w:t>
            </w:r>
          </w:p>
        </w:tc>
        <w:tc>
          <w:tcPr>
            <w:tcW w:w="1325" w:type="dxa"/>
            <w:tcBorders>
              <w:top w:val="single" w:sz="4" w:space="0" w:color="auto"/>
              <w:bottom w:val="single" w:sz="4" w:space="0" w:color="auto"/>
            </w:tcBorders>
          </w:tcPr>
          <w:p w14:paraId="00A66A55" w14:textId="27EA6BA0" w:rsidR="00744FD0" w:rsidRPr="007D7F8D" w:rsidRDefault="00744FD0" w:rsidP="007D7F8D">
            <w:pPr>
              <w:pStyle w:val="TableCaption"/>
              <w:spacing w:before="0"/>
              <w:rPr>
                <w:b/>
              </w:rPr>
            </w:pPr>
            <w:r w:rsidRPr="007D7F8D">
              <w:rPr>
                <w:b/>
              </w:rPr>
              <w:t>Poisson’s ratio</w:t>
            </w:r>
          </w:p>
        </w:tc>
      </w:tr>
      <w:tr w:rsidR="00932EF0" w:rsidRPr="007D7F8D" w14:paraId="2F500FD5" w14:textId="0B49DD87" w:rsidTr="00B40809">
        <w:trPr>
          <w:cantSplit/>
          <w:trHeight w:val="70"/>
          <w:jc w:val="center"/>
        </w:trPr>
        <w:tc>
          <w:tcPr>
            <w:tcW w:w="1385" w:type="dxa"/>
            <w:tcBorders>
              <w:top w:val="nil"/>
            </w:tcBorders>
            <w:vAlign w:val="center"/>
          </w:tcPr>
          <w:p w14:paraId="107D01A6" w14:textId="4E56F4BA" w:rsidR="00932EF0" w:rsidRPr="007D7F8D" w:rsidRDefault="00932EF0" w:rsidP="007D7F8D">
            <w:pPr>
              <w:pStyle w:val="TableCaption"/>
              <w:spacing w:before="0"/>
            </w:pPr>
            <w:r w:rsidRPr="007D7F8D">
              <w:t>&lt; 20</w:t>
            </w:r>
          </w:p>
        </w:tc>
        <w:tc>
          <w:tcPr>
            <w:tcW w:w="1384" w:type="dxa"/>
            <w:tcBorders>
              <w:top w:val="nil"/>
            </w:tcBorders>
            <w:vAlign w:val="center"/>
          </w:tcPr>
          <w:p w14:paraId="54C9E693" w14:textId="78F7511E" w:rsidR="00932EF0" w:rsidRPr="007D7F8D" w:rsidRDefault="00932EF0" w:rsidP="007D7F8D">
            <w:pPr>
              <w:pStyle w:val="TableCaption"/>
              <w:spacing w:before="0"/>
            </w:pPr>
            <w:r w:rsidRPr="007D7F8D">
              <w:t>305</w:t>
            </w:r>
          </w:p>
        </w:tc>
        <w:tc>
          <w:tcPr>
            <w:tcW w:w="1486" w:type="dxa"/>
            <w:tcBorders>
              <w:top w:val="nil"/>
            </w:tcBorders>
            <w:vAlign w:val="center"/>
          </w:tcPr>
          <w:p w14:paraId="0D4A632A" w14:textId="42EFEC07" w:rsidR="00932EF0" w:rsidRPr="007D7F8D" w:rsidRDefault="00932EF0" w:rsidP="007D7F8D">
            <w:pPr>
              <w:pStyle w:val="TableCaption"/>
              <w:spacing w:before="0"/>
            </w:pPr>
            <w:r w:rsidRPr="007D7F8D">
              <w:t>440</w:t>
            </w:r>
          </w:p>
        </w:tc>
        <w:tc>
          <w:tcPr>
            <w:tcW w:w="1468" w:type="dxa"/>
            <w:vMerge w:val="restart"/>
            <w:tcBorders>
              <w:top w:val="nil"/>
            </w:tcBorders>
            <w:vAlign w:val="center"/>
          </w:tcPr>
          <w:p w14:paraId="3D090676" w14:textId="093E9366" w:rsidR="00932EF0" w:rsidRPr="007D7F8D" w:rsidRDefault="00932EF0" w:rsidP="007D7F8D">
            <w:pPr>
              <w:pStyle w:val="TableCaption"/>
              <w:spacing w:before="0"/>
            </w:pPr>
            <w:r w:rsidRPr="007D7F8D">
              <w:t>21</w:t>
            </w:r>
          </w:p>
        </w:tc>
        <w:tc>
          <w:tcPr>
            <w:tcW w:w="1174" w:type="dxa"/>
            <w:vMerge w:val="restart"/>
            <w:tcBorders>
              <w:top w:val="nil"/>
            </w:tcBorders>
            <w:vAlign w:val="center"/>
          </w:tcPr>
          <w:p w14:paraId="26B4FBCC" w14:textId="2D941CB2" w:rsidR="00932EF0" w:rsidRPr="007D7F8D" w:rsidRDefault="00932EF0" w:rsidP="007D7F8D">
            <w:pPr>
              <w:pStyle w:val="TableCaption"/>
              <w:spacing w:before="0"/>
            </w:pPr>
            <w:r w:rsidRPr="007D7F8D">
              <w:t>210</w:t>
            </w:r>
          </w:p>
        </w:tc>
        <w:tc>
          <w:tcPr>
            <w:tcW w:w="1467" w:type="dxa"/>
            <w:vMerge w:val="restart"/>
            <w:tcBorders>
              <w:top w:val="nil"/>
            </w:tcBorders>
            <w:vAlign w:val="center"/>
          </w:tcPr>
          <w:p w14:paraId="082C8752" w14:textId="5B787A7E" w:rsidR="00932EF0" w:rsidRPr="007D7F8D" w:rsidRDefault="00932EF0" w:rsidP="007D7F8D">
            <w:pPr>
              <w:pStyle w:val="TableCaption"/>
              <w:spacing w:before="0"/>
            </w:pPr>
            <w:r w:rsidRPr="007D7F8D">
              <w:t>210</w:t>
            </w:r>
          </w:p>
        </w:tc>
        <w:tc>
          <w:tcPr>
            <w:tcW w:w="1325" w:type="dxa"/>
            <w:vMerge w:val="restart"/>
            <w:tcBorders>
              <w:top w:val="nil"/>
            </w:tcBorders>
            <w:vAlign w:val="center"/>
          </w:tcPr>
          <w:p w14:paraId="2BC442B0" w14:textId="38001794" w:rsidR="00932EF0" w:rsidRPr="007D7F8D" w:rsidRDefault="00932EF0" w:rsidP="007D7F8D">
            <w:pPr>
              <w:pStyle w:val="TableCaption"/>
              <w:spacing w:before="0"/>
            </w:pPr>
            <w:r w:rsidRPr="007D7F8D">
              <w:t>0,3</w:t>
            </w:r>
          </w:p>
        </w:tc>
      </w:tr>
      <w:tr w:rsidR="00932EF0" w:rsidRPr="007D7F8D" w14:paraId="1BF3627C" w14:textId="233F1339" w:rsidTr="00B40809">
        <w:trPr>
          <w:cantSplit/>
          <w:trHeight w:val="72"/>
          <w:jc w:val="center"/>
        </w:trPr>
        <w:tc>
          <w:tcPr>
            <w:tcW w:w="1385" w:type="dxa"/>
            <w:vAlign w:val="center"/>
          </w:tcPr>
          <w:p w14:paraId="2D7C3D51" w14:textId="3FFFABB0" w:rsidR="00932EF0" w:rsidRPr="007D7F8D" w:rsidRDefault="00932EF0" w:rsidP="007D7F8D">
            <w:pPr>
              <w:pStyle w:val="TableCaption"/>
              <w:spacing w:before="0"/>
            </w:pPr>
            <w:r w:rsidRPr="007D7F8D">
              <w:t>20-32</w:t>
            </w:r>
          </w:p>
        </w:tc>
        <w:tc>
          <w:tcPr>
            <w:tcW w:w="1384" w:type="dxa"/>
            <w:vAlign w:val="center"/>
          </w:tcPr>
          <w:p w14:paraId="5E2B3554" w14:textId="4E6A4EF6" w:rsidR="00932EF0" w:rsidRPr="007D7F8D" w:rsidRDefault="00932EF0" w:rsidP="007D7F8D">
            <w:pPr>
              <w:pStyle w:val="TableCaption"/>
              <w:spacing w:before="0"/>
            </w:pPr>
            <w:r w:rsidRPr="007D7F8D">
              <w:t>295</w:t>
            </w:r>
          </w:p>
        </w:tc>
        <w:tc>
          <w:tcPr>
            <w:tcW w:w="1486" w:type="dxa"/>
            <w:vAlign w:val="center"/>
          </w:tcPr>
          <w:p w14:paraId="79450A59" w14:textId="5F640CE8" w:rsidR="00932EF0" w:rsidRPr="007D7F8D" w:rsidRDefault="00932EF0" w:rsidP="007D7F8D">
            <w:pPr>
              <w:pStyle w:val="TableCaption"/>
              <w:spacing w:before="0"/>
            </w:pPr>
            <w:r w:rsidRPr="007D7F8D">
              <w:t>430</w:t>
            </w:r>
          </w:p>
        </w:tc>
        <w:tc>
          <w:tcPr>
            <w:tcW w:w="1468" w:type="dxa"/>
            <w:vMerge/>
            <w:vAlign w:val="center"/>
          </w:tcPr>
          <w:p w14:paraId="0C43B751" w14:textId="60F00C7D" w:rsidR="00932EF0" w:rsidRPr="007D7F8D" w:rsidRDefault="00932EF0" w:rsidP="007D7F8D">
            <w:pPr>
              <w:pStyle w:val="TableCaption"/>
              <w:spacing w:before="0"/>
              <w:jc w:val="left"/>
            </w:pPr>
          </w:p>
        </w:tc>
        <w:tc>
          <w:tcPr>
            <w:tcW w:w="1174" w:type="dxa"/>
            <w:vMerge/>
          </w:tcPr>
          <w:p w14:paraId="12490539" w14:textId="28C5E5BE" w:rsidR="00932EF0" w:rsidRPr="007D7F8D" w:rsidRDefault="00932EF0" w:rsidP="007D7F8D">
            <w:pPr>
              <w:pStyle w:val="TableCaption"/>
              <w:spacing w:before="0"/>
            </w:pPr>
          </w:p>
        </w:tc>
        <w:tc>
          <w:tcPr>
            <w:tcW w:w="1467" w:type="dxa"/>
            <w:vMerge/>
          </w:tcPr>
          <w:p w14:paraId="165A2969" w14:textId="2DFD4320" w:rsidR="00932EF0" w:rsidRPr="007D7F8D" w:rsidRDefault="00932EF0" w:rsidP="007D7F8D">
            <w:pPr>
              <w:pStyle w:val="TableCaption"/>
              <w:spacing w:before="0"/>
            </w:pPr>
          </w:p>
        </w:tc>
        <w:tc>
          <w:tcPr>
            <w:tcW w:w="1325" w:type="dxa"/>
            <w:vMerge/>
          </w:tcPr>
          <w:p w14:paraId="45D13328" w14:textId="77777777" w:rsidR="00932EF0" w:rsidRPr="007D7F8D" w:rsidRDefault="00932EF0" w:rsidP="007D7F8D">
            <w:pPr>
              <w:pStyle w:val="TableCaption"/>
              <w:spacing w:before="0"/>
            </w:pPr>
          </w:p>
        </w:tc>
      </w:tr>
    </w:tbl>
    <w:p w14:paraId="436017AD" w14:textId="15C9F348" w:rsidR="00E9469A" w:rsidRPr="00B069F2" w:rsidRDefault="00E9469A" w:rsidP="00B40809">
      <w:pPr>
        <w:pStyle w:val="Paragraph"/>
        <w:spacing w:before="120"/>
        <w:rPr>
          <w:rFonts w:eastAsia="Times"/>
        </w:rPr>
      </w:pPr>
      <w:r w:rsidRPr="00B069F2">
        <w:rPr>
          <w:rFonts w:eastAsia="Times"/>
        </w:rPr>
        <w:t>The main frame (Fig</w:t>
      </w:r>
      <w:r w:rsidR="00B96AA7">
        <w:rPr>
          <w:rFonts w:eastAsia="Times"/>
        </w:rPr>
        <w:t>ure</w:t>
      </w:r>
      <w:r w:rsidRPr="00B069F2">
        <w:rPr>
          <w:rFonts w:eastAsia="Times"/>
        </w:rPr>
        <w:t xml:space="preserve"> 1) consists of two longitudinal beams (side beams), two transverse beams, buffer beams located at both ends of the frame, under-cabin beams, and other elements used for mounting equipment. The frame rests on two two-axle bogies through two central supports and four rubber conical side supports. </w:t>
      </w:r>
    </w:p>
    <w:p w14:paraId="587917F2" w14:textId="77777777" w:rsidR="00E9469A" w:rsidRPr="00B069F2" w:rsidRDefault="00E9469A" w:rsidP="00E9469A">
      <w:pPr>
        <w:pStyle w:val="Paragraph"/>
        <w:rPr>
          <w:rFonts w:eastAsia="Times"/>
        </w:rPr>
      </w:pPr>
      <w:r w:rsidRPr="00B069F2">
        <w:rPr>
          <w:rFonts w:eastAsia="Times"/>
        </w:rPr>
        <w:t xml:space="preserve">The longitudinal beams consist of box-shaped structures made of two 36M I-beams, connected from above and below by 10 mm thick sheets. </w:t>
      </w:r>
    </w:p>
    <w:p w14:paraId="38987F6C" w14:textId="77777777" w:rsidR="00E9469A" w:rsidRPr="00B069F2" w:rsidRDefault="00E9469A" w:rsidP="00E9469A">
      <w:pPr>
        <w:pStyle w:val="Paragraph"/>
        <w:rPr>
          <w:rFonts w:eastAsia="Times"/>
        </w:rPr>
      </w:pPr>
      <w:r w:rsidRPr="00B069F2">
        <w:rPr>
          <w:rFonts w:eastAsia="Times"/>
        </w:rPr>
        <w:lastRenderedPageBreak/>
        <w:t>Box-shaped cross-section pivot beams are made of sheet steel of varying thicknesses (top sheet - 12 mm, bottom sheet - 16 mm, 2 vertical sheets - 12 mm). A flange with a mounting hole for the central support and limiting brackets are welded to the bottom sheet of the pivot beam, preventing excessive rotation of the bogies when they derail.</w:t>
      </w:r>
    </w:p>
    <w:p w14:paraId="4D5D2A46" w14:textId="77777777" w:rsidR="00E9469A" w:rsidRDefault="00E9469A" w:rsidP="00E9469A">
      <w:pPr>
        <w:pStyle w:val="Paragraph"/>
        <w:rPr>
          <w:rFonts w:eastAsia="Times"/>
        </w:rPr>
      </w:pPr>
      <w:r w:rsidRPr="00B069F2">
        <w:rPr>
          <w:rFonts w:eastAsia="Times"/>
        </w:rPr>
        <w:t>Buffer beams consist of sheets of varying thickness (8-15 mm), which are connected to each other by four diaphragms that are 8 mm thick. In the middle part of the lower sheet (15 mm), there is an automatic coupler box with a shock-absorbing apparatus for installing a traction yoke.</w:t>
      </w:r>
      <w:r w:rsidRPr="0042530D">
        <w:rPr>
          <w:rFonts w:eastAsia="Times"/>
        </w:rPr>
        <w:t xml:space="preserve"> </w:t>
      </w:r>
    </w:p>
    <w:p w14:paraId="0A2BA9AE" w14:textId="77777777" w:rsidR="00E9469A" w:rsidRPr="0042530D" w:rsidRDefault="00E9469A" w:rsidP="00B40809">
      <w:pPr>
        <w:pStyle w:val="Figure"/>
        <w:spacing w:before="120"/>
      </w:pPr>
      <w:r w:rsidRPr="0053700B">
        <w:rPr>
          <w:noProof/>
          <w:lang w:val="en-GB"/>
        </w:rPr>
        <w:drawing>
          <wp:inline distT="0" distB="0" distL="0" distR="0" wp14:anchorId="038CF877" wp14:editId="722A2D7B">
            <wp:extent cx="5760000" cy="1969200"/>
            <wp:effectExtent l="19050" t="19050" r="12700" b="12065"/>
            <wp:docPr id="1376003311" name="Ras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00" cy="1969200"/>
                    </a:xfrm>
                    <a:prstGeom prst="rect">
                      <a:avLst/>
                    </a:prstGeom>
                    <a:noFill/>
                    <a:ln>
                      <a:solidFill>
                        <a:schemeClr val="tx1"/>
                      </a:solidFill>
                    </a:ln>
                  </pic:spPr>
                </pic:pic>
              </a:graphicData>
            </a:graphic>
          </wp:inline>
        </w:drawing>
      </w:r>
    </w:p>
    <w:p w14:paraId="4819416A" w14:textId="73AAFFB3" w:rsidR="00E9469A" w:rsidRPr="0042530D" w:rsidRDefault="007663F4" w:rsidP="00B40809">
      <w:pPr>
        <w:pStyle w:val="FigureCaption"/>
        <w:spacing w:before="0" w:after="120"/>
      </w:pPr>
      <w:r>
        <w:rPr>
          <w:rFonts w:eastAsia="Times"/>
          <w:b/>
        </w:rPr>
        <w:t>FIGURE</w:t>
      </w:r>
      <w:r w:rsidR="00E9469A" w:rsidRPr="0042530D">
        <w:rPr>
          <w:rFonts w:eastAsia="Times"/>
          <w:b/>
        </w:rPr>
        <w:t xml:space="preserve"> 1.</w:t>
      </w:r>
      <w:r w:rsidR="00E9469A" w:rsidRPr="0042530D">
        <w:rPr>
          <w:rFonts w:eastAsia="Times"/>
        </w:rPr>
        <w:t xml:space="preserve"> </w:t>
      </w:r>
      <w:r w:rsidR="00E9469A" w:rsidRPr="00B069F2">
        <w:rPr>
          <w:rFonts w:eastAsia="Times"/>
        </w:rPr>
        <w:t>Main frame of the PE2U traction unit control electric locomotive</w:t>
      </w:r>
    </w:p>
    <w:p w14:paraId="0BEF6B1C" w14:textId="0B9081F7" w:rsidR="00E9469A" w:rsidRPr="0042530D" w:rsidRDefault="00E9469A" w:rsidP="00B40809">
      <w:pPr>
        <w:pStyle w:val="2"/>
      </w:pPr>
      <w:r w:rsidRPr="00B069F2">
        <w:rPr>
          <w:rFonts w:eastAsia="Times"/>
        </w:rPr>
        <w:t xml:space="preserve">Modeling </w:t>
      </w:r>
      <w:r w:rsidR="004F493A" w:rsidRPr="00B069F2">
        <w:rPr>
          <w:rFonts w:eastAsia="Times"/>
        </w:rPr>
        <w:t>Approach and Loading Conditions</w:t>
      </w:r>
    </w:p>
    <w:p w14:paraId="7AECBE5A" w14:textId="31A0D2EF" w:rsidR="00E9469A" w:rsidRPr="007D7F8D" w:rsidRDefault="00E9469A" w:rsidP="007D7F8D">
      <w:pPr>
        <w:pStyle w:val="Paragraph"/>
        <w:rPr>
          <w:rFonts w:eastAsia="Times"/>
        </w:rPr>
      </w:pPr>
      <w:r w:rsidRPr="007D7F8D">
        <w:rPr>
          <w:rFonts w:eastAsia="Times"/>
        </w:rPr>
        <w:t xml:space="preserve">A three-dimensional model of the main frame was developed using SolidWorks software, </w:t>
      </w:r>
      <w:r w:rsidR="004F493A" w:rsidRPr="007D7F8D">
        <w:rPr>
          <w:rFonts w:eastAsia="Times"/>
        </w:rPr>
        <w:t>utilizing</w:t>
      </w:r>
      <w:r w:rsidRPr="007D7F8D">
        <w:rPr>
          <w:rFonts w:eastAsia="Times"/>
        </w:rPr>
        <w:t xml:space="preserve"> detailed technical drawings and dimensional data obtained from real-world locomotive components. The model was then imported into ANSYS Workbench, where material properties were specified. Welded joints were modeled as rigid connections, and constraints were applied to reflect the real boundary conditions.</w:t>
      </w:r>
    </w:p>
    <w:p w14:paraId="674F70D6" w14:textId="77777777" w:rsidR="00E9469A" w:rsidRPr="00886823" w:rsidRDefault="00E9469A" w:rsidP="00DA736B">
      <w:pPr>
        <w:pStyle w:val="Paragraph"/>
        <w:rPr>
          <w:rFonts w:eastAsia="Times"/>
        </w:rPr>
      </w:pPr>
      <w:r w:rsidRPr="00B069F2">
        <w:rPr>
          <w:rFonts w:eastAsia="Times"/>
        </w:rPr>
        <w:t xml:space="preserve">As the acting force, in accordance with the requirements of GOST 34939, the vertical static gravitational forces from the equipment and devices installed on the control electric locomotive, as well as the frame's own weight, were applied as a distributed force on the upper surfaces of the frame. </w:t>
      </w:r>
      <w:r w:rsidRPr="00886823">
        <w:rPr>
          <w:rFonts w:eastAsia="Times"/>
        </w:rPr>
        <w:t>The applied load was determined using Equation (1), with input parameters derived from the data presented in Table 2.</w:t>
      </w:r>
    </w:p>
    <w:p w14:paraId="6DA8C28B" w14:textId="77777777" w:rsidR="00E9469A" w:rsidRDefault="00E9469A" w:rsidP="00DA736B">
      <w:pPr>
        <w:pStyle w:val="Paragraph"/>
        <w:rPr>
          <w:rFonts w:eastAsia="Times"/>
        </w:rPr>
      </w:pPr>
      <w:r w:rsidRPr="00B069F2">
        <w:rPr>
          <w:rFonts w:eastAsia="Times"/>
        </w:rPr>
        <w:t xml:space="preserve"> For boundary conditions, the displacement of 6 frame supports was restricted in the vertical and transverse directions, and the displacement of the supporting surface of one external auto-coupler support was limited in the longitudinal direction. The loading diagram of the main frame is shown in Figure 2.</w:t>
      </w:r>
    </w:p>
    <w:p w14:paraId="7E3C318C" w14:textId="77777777" w:rsidR="00E9469A" w:rsidRPr="0042530D" w:rsidRDefault="00E9469A" w:rsidP="00B40809">
      <w:pPr>
        <w:pStyle w:val="Figure"/>
        <w:spacing w:before="120"/>
      </w:pPr>
      <w:r w:rsidRPr="00891988">
        <w:rPr>
          <w:noProof/>
          <w:lang w:val="en-GB"/>
        </w:rPr>
        <w:drawing>
          <wp:inline distT="0" distB="0" distL="0" distR="0" wp14:anchorId="5F30D436" wp14:editId="7F86C35B">
            <wp:extent cx="5940000" cy="1580400"/>
            <wp:effectExtent l="19050" t="19050" r="22860" b="20320"/>
            <wp:docPr id="1604876330" name="Ras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0000" cy="1580400"/>
                    </a:xfrm>
                    <a:prstGeom prst="rect">
                      <a:avLst/>
                    </a:prstGeom>
                    <a:ln>
                      <a:solidFill>
                        <a:schemeClr val="tx1"/>
                      </a:solidFill>
                    </a:ln>
                  </pic:spPr>
                </pic:pic>
              </a:graphicData>
            </a:graphic>
          </wp:inline>
        </w:drawing>
      </w:r>
    </w:p>
    <w:p w14:paraId="6645CD28" w14:textId="5229C290" w:rsidR="00E9469A" w:rsidRDefault="001B102F" w:rsidP="00B40809">
      <w:pPr>
        <w:pStyle w:val="FigureCaption"/>
        <w:spacing w:before="0" w:after="120"/>
        <w:rPr>
          <w:rFonts w:eastAsia="Times"/>
        </w:rPr>
      </w:pPr>
      <w:r w:rsidRPr="0042530D">
        <w:rPr>
          <w:rFonts w:eastAsia="Times"/>
          <w:b/>
        </w:rPr>
        <w:t>FIG</w:t>
      </w:r>
      <w:r>
        <w:rPr>
          <w:rFonts w:eastAsia="Times"/>
          <w:b/>
        </w:rPr>
        <w:t>URE</w:t>
      </w:r>
      <w:r w:rsidR="00E9469A" w:rsidRPr="0042530D">
        <w:rPr>
          <w:rFonts w:eastAsia="Times"/>
          <w:b/>
        </w:rPr>
        <w:t xml:space="preserve"> </w:t>
      </w:r>
      <w:r w:rsidR="00E9469A">
        <w:rPr>
          <w:rFonts w:eastAsia="Times"/>
          <w:b/>
        </w:rPr>
        <w:t>2</w:t>
      </w:r>
      <w:r w:rsidR="00E9469A" w:rsidRPr="0042530D">
        <w:rPr>
          <w:rFonts w:eastAsia="Times"/>
          <w:b/>
        </w:rPr>
        <w:t>.</w:t>
      </w:r>
      <w:r w:rsidR="00E9469A" w:rsidRPr="0042530D">
        <w:rPr>
          <w:rFonts w:eastAsia="Times"/>
        </w:rPr>
        <w:t xml:space="preserve"> </w:t>
      </w:r>
      <w:r w:rsidR="00E9469A" w:rsidRPr="00B069F2">
        <w:rPr>
          <w:rFonts w:eastAsia="Times"/>
        </w:rPr>
        <w:t>Loading diagram of the main frame</w:t>
      </w: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96"/>
        <w:gridCol w:w="293"/>
      </w:tblGrid>
      <w:tr w:rsidR="002C0B10" w:rsidRPr="000009CD" w14:paraId="2D779E02" w14:textId="77777777" w:rsidTr="00B40809">
        <w:tc>
          <w:tcPr>
            <w:tcW w:w="9396" w:type="dxa"/>
            <w:vAlign w:val="center"/>
          </w:tcPr>
          <w:p w14:paraId="1DC396FD" w14:textId="45D54A43" w:rsidR="002C0B10" w:rsidRPr="002C0B10" w:rsidRDefault="002C0B10" w:rsidP="002C0B10">
            <w:pPr>
              <w:pStyle w:val="3"/>
            </w:pPr>
            <m:oMathPara>
              <m:oMath>
                <m:r>
                  <m:rPr>
                    <m:nor/>
                  </m:rPr>
                  <m:t>F=</m:t>
                </m:r>
                <m:sSub>
                  <m:sSubPr>
                    <m:ctrlPr>
                      <w:rPr>
                        <w:rFonts w:ascii="Cambria Math" w:hAnsi="Cambria Math"/>
                      </w:rPr>
                    </m:ctrlPr>
                  </m:sSubPr>
                  <m:e>
                    <m:r>
                      <m:rPr>
                        <m:nor/>
                      </m:rPr>
                      <m:t>1000(M</m:t>
                    </m:r>
                  </m:e>
                  <m:sub>
                    <m:r>
                      <m:rPr>
                        <m:nor/>
                      </m:rPr>
                      <m:t>CEL</m:t>
                    </m:r>
                  </m:sub>
                </m:sSub>
                <m:r>
                  <m:rPr>
                    <m:nor/>
                  </m:rPr>
                  <m:t>-2</m:t>
                </m:r>
                <m:sSub>
                  <m:sSubPr>
                    <m:ctrlPr>
                      <w:rPr>
                        <w:rFonts w:ascii="Cambria Math" w:hAnsi="Cambria Math"/>
                      </w:rPr>
                    </m:ctrlPr>
                  </m:sSubPr>
                  <m:e>
                    <m:r>
                      <m:rPr>
                        <m:nor/>
                      </m:rPr>
                      <m:t>M</m:t>
                    </m:r>
                  </m:e>
                  <m:sub>
                    <m:r>
                      <m:rPr>
                        <m:nor/>
                      </m:rPr>
                      <m:t>A</m:t>
                    </m:r>
                  </m:sub>
                </m:sSub>
                <m:r>
                  <m:rPr>
                    <m:nor/>
                  </m:rPr>
                  <m:t>-</m:t>
                </m:r>
                <m:sSub>
                  <m:sSubPr>
                    <m:ctrlPr>
                      <w:rPr>
                        <w:rFonts w:ascii="Cambria Math" w:hAnsi="Cambria Math"/>
                      </w:rPr>
                    </m:ctrlPr>
                  </m:sSubPr>
                  <m:e>
                    <m:r>
                      <m:rPr>
                        <m:nor/>
                      </m:rPr>
                      <m:t>M</m:t>
                    </m:r>
                  </m:e>
                  <m:sub>
                    <m:r>
                      <m:rPr>
                        <m:nor/>
                      </m:rPr>
                      <m:t>MF</m:t>
                    </m:r>
                  </m:sub>
                </m:sSub>
                <m:r>
                  <m:rPr>
                    <m:nor/>
                  </m:rPr>
                  <m:t>)g</m:t>
                </m:r>
              </m:oMath>
            </m:oMathPara>
          </w:p>
        </w:tc>
        <w:tc>
          <w:tcPr>
            <w:tcW w:w="293" w:type="dxa"/>
            <w:vAlign w:val="center"/>
          </w:tcPr>
          <w:p w14:paraId="7384171D" w14:textId="2146AA77" w:rsidR="002C0B10" w:rsidRPr="002C0B10" w:rsidRDefault="00BE1B87" w:rsidP="00BE1B87">
            <w:pPr>
              <w:pStyle w:val="Equation"/>
              <w:jc w:val="right"/>
            </w:pPr>
            <w:r>
              <w:t>(</w:t>
            </w:r>
            <w:r>
              <w:fldChar w:fldCharType="begin"/>
            </w:r>
            <w:r>
              <w:instrText xml:space="preserve"> LISTNUM  AIPTables </w:instrText>
            </w:r>
            <w:r>
              <w:fldChar w:fldCharType="end"/>
            </w:r>
            <w:r>
              <w:t>)</w:t>
            </w:r>
          </w:p>
        </w:tc>
      </w:tr>
    </w:tbl>
    <w:tbl>
      <w:tblPr>
        <w:tblW w:w="3093" w:type="pct"/>
        <w:jc w:val="center"/>
        <w:tblBorders>
          <w:bottom w:val="single" w:sz="4" w:space="0" w:color="auto"/>
        </w:tblBorders>
        <w:tblLayout w:type="fixed"/>
        <w:tblLook w:val="0000" w:firstRow="0" w:lastRow="0" w:firstColumn="0" w:lastColumn="0" w:noHBand="0" w:noVBand="0"/>
      </w:tblPr>
      <w:tblGrid>
        <w:gridCol w:w="5006"/>
        <w:gridCol w:w="988"/>
      </w:tblGrid>
      <w:tr w:rsidR="00D36ABB" w:rsidRPr="00925005" w14:paraId="2D27B3FD" w14:textId="77777777" w:rsidTr="00013DE6">
        <w:trPr>
          <w:cantSplit/>
          <w:trHeight w:val="60"/>
          <w:jc w:val="center"/>
        </w:trPr>
        <w:tc>
          <w:tcPr>
            <w:tcW w:w="5790" w:type="dxa"/>
            <w:gridSpan w:val="2"/>
            <w:tcBorders>
              <w:bottom w:val="nil"/>
            </w:tcBorders>
          </w:tcPr>
          <w:p w14:paraId="41F34841" w14:textId="167F1A1C" w:rsidR="00D36ABB" w:rsidRPr="00925005" w:rsidRDefault="00D36ABB" w:rsidP="00925005">
            <w:pPr>
              <w:pStyle w:val="TableCaption"/>
              <w:spacing w:before="0"/>
              <w:rPr>
                <w:b/>
              </w:rPr>
            </w:pPr>
            <w:r w:rsidRPr="00925005">
              <w:rPr>
                <w:b/>
              </w:rPr>
              <w:t xml:space="preserve">TABLE </w:t>
            </w:r>
            <w:r w:rsidR="00DA736B" w:rsidRPr="00925005">
              <w:rPr>
                <w:b/>
              </w:rPr>
              <w:t>2</w:t>
            </w:r>
            <w:r w:rsidRPr="00925005">
              <w:rPr>
                <w:b/>
              </w:rPr>
              <w:t xml:space="preserve">. </w:t>
            </w:r>
            <w:r w:rsidRPr="00925005">
              <w:rPr>
                <w:rFonts w:eastAsia="Times"/>
              </w:rPr>
              <w:t>Properties of frame structure materials</w:t>
            </w:r>
          </w:p>
        </w:tc>
      </w:tr>
      <w:tr w:rsidR="00D36ABB" w:rsidRPr="00925005" w14:paraId="6962B54F" w14:textId="77777777" w:rsidTr="00013DE6">
        <w:trPr>
          <w:cantSplit/>
          <w:trHeight w:val="52"/>
          <w:jc w:val="center"/>
        </w:trPr>
        <w:tc>
          <w:tcPr>
            <w:tcW w:w="4836" w:type="dxa"/>
            <w:tcBorders>
              <w:top w:val="single" w:sz="4" w:space="0" w:color="auto"/>
              <w:bottom w:val="single" w:sz="4" w:space="0" w:color="auto"/>
            </w:tcBorders>
          </w:tcPr>
          <w:p w14:paraId="6730CA99" w14:textId="6402A87D" w:rsidR="00D36ABB" w:rsidRPr="00925005" w:rsidRDefault="00D36ABB" w:rsidP="00007086">
            <w:pPr>
              <w:pStyle w:val="TableCaption"/>
              <w:spacing w:before="0"/>
              <w:rPr>
                <w:b/>
              </w:rPr>
            </w:pPr>
            <w:r w:rsidRPr="00925005">
              <w:rPr>
                <w:b/>
              </w:rPr>
              <w:t>Parameter</w:t>
            </w:r>
          </w:p>
        </w:tc>
        <w:tc>
          <w:tcPr>
            <w:tcW w:w="954" w:type="dxa"/>
            <w:tcBorders>
              <w:top w:val="single" w:sz="4" w:space="0" w:color="auto"/>
              <w:bottom w:val="single" w:sz="4" w:space="0" w:color="auto"/>
            </w:tcBorders>
          </w:tcPr>
          <w:p w14:paraId="55D939AE" w14:textId="60D09B10" w:rsidR="00D36ABB" w:rsidRPr="00925005" w:rsidRDefault="00925005" w:rsidP="00007086">
            <w:pPr>
              <w:pStyle w:val="TableCaption"/>
              <w:spacing w:before="0"/>
              <w:rPr>
                <w:b/>
              </w:rPr>
            </w:pPr>
            <w:r w:rsidRPr="00925005">
              <w:rPr>
                <w:b/>
              </w:rPr>
              <w:t>Value</w:t>
            </w:r>
          </w:p>
        </w:tc>
      </w:tr>
      <w:tr w:rsidR="00D36ABB" w:rsidRPr="00925005" w14:paraId="5771A5CC" w14:textId="77777777" w:rsidTr="00013DE6">
        <w:trPr>
          <w:cantSplit/>
          <w:trHeight w:val="52"/>
          <w:jc w:val="center"/>
        </w:trPr>
        <w:tc>
          <w:tcPr>
            <w:tcW w:w="4836" w:type="dxa"/>
            <w:tcBorders>
              <w:top w:val="nil"/>
            </w:tcBorders>
            <w:vAlign w:val="center"/>
          </w:tcPr>
          <w:p w14:paraId="0AD27B95" w14:textId="1F49801C" w:rsidR="00D36ABB" w:rsidRPr="00925005" w:rsidRDefault="00D36ABB" w:rsidP="00DA6E63">
            <w:pPr>
              <w:pStyle w:val="TableCaption"/>
              <w:spacing w:before="0"/>
              <w:jc w:val="left"/>
              <w:rPr>
                <w:sz w:val="20"/>
                <w:szCs w:val="20"/>
              </w:rPr>
            </w:pPr>
            <w:r w:rsidRPr="00925005">
              <w:rPr>
                <w:lang w:val="en-GB"/>
              </w:rPr>
              <w:t xml:space="preserve">Control electric locomotive mass, </w:t>
            </w:r>
            <w:r w:rsidRPr="00925005">
              <w:rPr>
                <w:i/>
                <w:iCs/>
                <w:lang w:val="en-GB"/>
              </w:rPr>
              <w:t>M</w:t>
            </w:r>
            <w:r w:rsidRPr="00925005">
              <w:rPr>
                <w:i/>
                <w:iCs/>
                <w:vertAlign w:val="subscript"/>
                <w:lang w:val="en-GB"/>
              </w:rPr>
              <w:t>CEL</w:t>
            </w:r>
            <w:r w:rsidR="00925005" w:rsidRPr="00925005">
              <w:rPr>
                <w:lang w:val="en-GB"/>
              </w:rPr>
              <w:t>,</w:t>
            </w:r>
            <w:r w:rsidR="00925005" w:rsidRPr="00925005">
              <w:rPr>
                <w:i/>
                <w:iCs/>
                <w:lang w:val="en-GB"/>
              </w:rPr>
              <w:t xml:space="preserve"> </w:t>
            </w:r>
            <w:r w:rsidR="00925005" w:rsidRPr="00925005">
              <w:rPr>
                <w:lang w:val="en-GB"/>
              </w:rPr>
              <w:t>t.</w:t>
            </w:r>
          </w:p>
        </w:tc>
        <w:tc>
          <w:tcPr>
            <w:tcW w:w="954" w:type="dxa"/>
            <w:tcBorders>
              <w:top w:val="nil"/>
            </w:tcBorders>
            <w:vAlign w:val="center"/>
          </w:tcPr>
          <w:p w14:paraId="47DBBB7A" w14:textId="1BFE5B14" w:rsidR="00D36ABB" w:rsidRPr="00925005" w:rsidRDefault="00D36ABB" w:rsidP="00DA6E63">
            <w:pPr>
              <w:pStyle w:val="TableCaption"/>
              <w:spacing w:before="0"/>
              <w:rPr>
                <w:sz w:val="20"/>
                <w:szCs w:val="20"/>
              </w:rPr>
            </w:pPr>
            <w:r w:rsidRPr="00925005">
              <w:rPr>
                <w:lang w:val="en-GB"/>
              </w:rPr>
              <w:t>120</w:t>
            </w:r>
          </w:p>
        </w:tc>
      </w:tr>
      <w:tr w:rsidR="00D36ABB" w:rsidRPr="00925005" w14:paraId="065E2366" w14:textId="77777777" w:rsidTr="00013DE6">
        <w:trPr>
          <w:cantSplit/>
          <w:trHeight w:val="52"/>
          <w:jc w:val="center"/>
        </w:trPr>
        <w:tc>
          <w:tcPr>
            <w:tcW w:w="4836" w:type="dxa"/>
            <w:tcBorders>
              <w:top w:val="nil"/>
            </w:tcBorders>
            <w:vAlign w:val="center"/>
          </w:tcPr>
          <w:p w14:paraId="003E9F8D" w14:textId="29220D98" w:rsidR="00D36ABB" w:rsidRPr="00925005" w:rsidRDefault="00D36ABB" w:rsidP="00DA6E63">
            <w:pPr>
              <w:pStyle w:val="TableCaption"/>
              <w:spacing w:before="0"/>
              <w:jc w:val="left"/>
              <w:rPr>
                <w:sz w:val="20"/>
                <w:szCs w:val="20"/>
              </w:rPr>
            </w:pPr>
            <w:r w:rsidRPr="00925005">
              <w:rPr>
                <w:lang w:val="en-GB"/>
              </w:rPr>
              <w:t xml:space="preserve">Bogie mass, </w:t>
            </w:r>
            <w:r w:rsidRPr="00925005">
              <w:rPr>
                <w:i/>
                <w:iCs/>
                <w:lang w:val="en-GB"/>
              </w:rPr>
              <w:t>M</w:t>
            </w:r>
            <w:r w:rsidRPr="00925005">
              <w:rPr>
                <w:i/>
                <w:iCs/>
                <w:vertAlign w:val="subscript"/>
                <w:lang w:val="en-GB"/>
              </w:rPr>
              <w:t>B</w:t>
            </w:r>
            <w:r w:rsidR="00925005">
              <w:rPr>
                <w:lang w:val="en-GB"/>
              </w:rPr>
              <w:t>, t.</w:t>
            </w:r>
          </w:p>
        </w:tc>
        <w:tc>
          <w:tcPr>
            <w:tcW w:w="954" w:type="dxa"/>
            <w:tcBorders>
              <w:top w:val="nil"/>
            </w:tcBorders>
            <w:vAlign w:val="center"/>
          </w:tcPr>
          <w:p w14:paraId="7D7B8304" w14:textId="141052AA" w:rsidR="00D36ABB" w:rsidRPr="00925005" w:rsidRDefault="00D36ABB" w:rsidP="00DA6E63">
            <w:pPr>
              <w:pStyle w:val="TableCaption"/>
              <w:spacing w:before="0"/>
              <w:rPr>
                <w:sz w:val="20"/>
                <w:szCs w:val="20"/>
              </w:rPr>
            </w:pPr>
            <w:r w:rsidRPr="00925005">
              <w:rPr>
                <w:lang w:val="en-GB"/>
              </w:rPr>
              <w:t>24,5</w:t>
            </w:r>
          </w:p>
        </w:tc>
      </w:tr>
      <w:tr w:rsidR="00D36ABB" w:rsidRPr="00925005" w14:paraId="738B65FF" w14:textId="77777777" w:rsidTr="00013DE6">
        <w:trPr>
          <w:cantSplit/>
          <w:trHeight w:val="52"/>
          <w:jc w:val="center"/>
        </w:trPr>
        <w:tc>
          <w:tcPr>
            <w:tcW w:w="4836" w:type="dxa"/>
            <w:tcBorders>
              <w:top w:val="nil"/>
            </w:tcBorders>
            <w:vAlign w:val="center"/>
          </w:tcPr>
          <w:p w14:paraId="6480B3FA" w14:textId="293070F0" w:rsidR="00D36ABB" w:rsidRPr="00925005" w:rsidRDefault="00D36ABB" w:rsidP="00DA6E63">
            <w:pPr>
              <w:pStyle w:val="TableCaption"/>
              <w:spacing w:before="0"/>
              <w:jc w:val="left"/>
              <w:rPr>
                <w:sz w:val="20"/>
                <w:szCs w:val="20"/>
              </w:rPr>
            </w:pPr>
            <w:r w:rsidRPr="00925005">
              <w:rPr>
                <w:lang w:val="en-GB"/>
              </w:rPr>
              <w:t xml:space="preserve">Mass of the control electric locomotive’s main frame, </w:t>
            </w:r>
            <w:r w:rsidRPr="00925005">
              <w:rPr>
                <w:i/>
                <w:iCs/>
                <w:lang w:val="en-GB"/>
              </w:rPr>
              <w:t>M</w:t>
            </w:r>
            <w:r w:rsidRPr="00925005">
              <w:rPr>
                <w:i/>
                <w:iCs/>
                <w:vertAlign w:val="subscript"/>
                <w:lang w:val="en-GB"/>
              </w:rPr>
              <w:t>MF</w:t>
            </w:r>
            <w:r w:rsidR="00925005">
              <w:rPr>
                <w:lang w:val="en-GB"/>
              </w:rPr>
              <w:t>, t.</w:t>
            </w:r>
          </w:p>
        </w:tc>
        <w:tc>
          <w:tcPr>
            <w:tcW w:w="954" w:type="dxa"/>
            <w:tcBorders>
              <w:top w:val="nil"/>
            </w:tcBorders>
            <w:vAlign w:val="center"/>
          </w:tcPr>
          <w:p w14:paraId="3885794E" w14:textId="3F5A97D5" w:rsidR="00D36ABB" w:rsidRPr="00925005" w:rsidRDefault="00D36ABB" w:rsidP="00DA6E63">
            <w:pPr>
              <w:pStyle w:val="TableCaption"/>
              <w:spacing w:before="0"/>
              <w:rPr>
                <w:sz w:val="20"/>
                <w:szCs w:val="20"/>
              </w:rPr>
            </w:pPr>
            <w:r w:rsidRPr="00925005">
              <w:rPr>
                <w:lang w:val="en-GB"/>
              </w:rPr>
              <w:t>11,43</w:t>
            </w:r>
          </w:p>
        </w:tc>
      </w:tr>
      <w:tr w:rsidR="00D36ABB" w:rsidRPr="00925005" w14:paraId="3B49FFCF" w14:textId="77777777" w:rsidTr="00013DE6">
        <w:trPr>
          <w:cantSplit/>
          <w:trHeight w:val="52"/>
          <w:jc w:val="center"/>
        </w:trPr>
        <w:tc>
          <w:tcPr>
            <w:tcW w:w="4836" w:type="dxa"/>
            <w:tcBorders>
              <w:top w:val="nil"/>
            </w:tcBorders>
            <w:vAlign w:val="center"/>
          </w:tcPr>
          <w:p w14:paraId="547FA2F2" w14:textId="681BCC27" w:rsidR="00D36ABB" w:rsidRPr="00925005" w:rsidRDefault="00D36ABB" w:rsidP="00DA6E63">
            <w:pPr>
              <w:pStyle w:val="TableCaption"/>
              <w:spacing w:before="0"/>
              <w:jc w:val="left"/>
              <w:rPr>
                <w:sz w:val="20"/>
                <w:szCs w:val="20"/>
              </w:rPr>
            </w:pPr>
            <w:r w:rsidRPr="00925005">
              <w:rPr>
                <w:lang w:val="en-GB"/>
              </w:rPr>
              <w:t xml:space="preserve">Design speed, </w:t>
            </w:r>
            <w:r w:rsidRPr="00925005">
              <w:rPr>
                <w:i/>
                <w:iCs/>
                <w:lang w:val="en-GB"/>
              </w:rPr>
              <w:t>V</w:t>
            </w:r>
            <w:r w:rsidR="00925005">
              <w:rPr>
                <w:lang w:val="en-GB"/>
              </w:rPr>
              <w:t xml:space="preserve">, </w:t>
            </w:r>
            <w:r w:rsidR="00925005" w:rsidRPr="00925005">
              <w:rPr>
                <w:lang w:val="en-GB"/>
              </w:rPr>
              <w:t>km/h</w:t>
            </w:r>
          </w:p>
        </w:tc>
        <w:tc>
          <w:tcPr>
            <w:tcW w:w="954" w:type="dxa"/>
            <w:tcBorders>
              <w:top w:val="nil"/>
            </w:tcBorders>
            <w:vAlign w:val="center"/>
          </w:tcPr>
          <w:p w14:paraId="3F9B138E" w14:textId="7D8811B2" w:rsidR="00D36ABB" w:rsidRPr="00925005" w:rsidRDefault="00D36ABB" w:rsidP="00DA6E63">
            <w:pPr>
              <w:pStyle w:val="TableCaption"/>
              <w:spacing w:before="0"/>
              <w:rPr>
                <w:sz w:val="20"/>
                <w:szCs w:val="20"/>
              </w:rPr>
            </w:pPr>
            <w:r w:rsidRPr="00925005">
              <w:rPr>
                <w:lang w:val="en-GB"/>
              </w:rPr>
              <w:t xml:space="preserve">65 </w:t>
            </w:r>
          </w:p>
        </w:tc>
      </w:tr>
      <w:tr w:rsidR="00D36ABB" w:rsidRPr="00925005" w14:paraId="6BCA86E2" w14:textId="77777777" w:rsidTr="00013DE6">
        <w:trPr>
          <w:cantSplit/>
          <w:trHeight w:val="60"/>
          <w:jc w:val="center"/>
        </w:trPr>
        <w:tc>
          <w:tcPr>
            <w:tcW w:w="4836" w:type="dxa"/>
            <w:vAlign w:val="center"/>
          </w:tcPr>
          <w:p w14:paraId="3DF27051" w14:textId="3AF528D8" w:rsidR="00D36ABB" w:rsidRPr="00925005" w:rsidRDefault="00D36ABB" w:rsidP="00DA6E63">
            <w:pPr>
              <w:pStyle w:val="TableCaption"/>
              <w:spacing w:before="0"/>
              <w:jc w:val="left"/>
            </w:pPr>
            <w:r w:rsidRPr="00925005">
              <w:rPr>
                <w:lang w:val="en-GB"/>
              </w:rPr>
              <w:t xml:space="preserve">Vertical dynamics coefficient, </w:t>
            </w:r>
            <w:r w:rsidRPr="00925005">
              <w:rPr>
                <w:i/>
                <w:iCs/>
                <w:lang w:val="en-GB"/>
              </w:rPr>
              <w:t>K</w:t>
            </w:r>
            <w:r w:rsidRPr="00925005">
              <w:rPr>
                <w:i/>
                <w:iCs/>
                <w:vertAlign w:val="subscript"/>
                <w:lang w:val="en-GB"/>
              </w:rPr>
              <w:t>D</w:t>
            </w:r>
          </w:p>
        </w:tc>
        <w:tc>
          <w:tcPr>
            <w:tcW w:w="954" w:type="dxa"/>
            <w:vAlign w:val="center"/>
          </w:tcPr>
          <w:p w14:paraId="18CBB67C" w14:textId="5350178F" w:rsidR="00D36ABB" w:rsidRPr="00925005" w:rsidRDefault="00D36ABB" w:rsidP="00DA6E63">
            <w:pPr>
              <w:pStyle w:val="TableCaption"/>
              <w:spacing w:before="0"/>
              <w:rPr>
                <w:sz w:val="20"/>
              </w:rPr>
            </w:pPr>
            <w:r w:rsidRPr="00925005">
              <w:rPr>
                <w:lang w:val="en-GB"/>
              </w:rPr>
              <w:t>0,238</w:t>
            </w:r>
          </w:p>
        </w:tc>
      </w:tr>
    </w:tbl>
    <w:p w14:paraId="4096F7D7" w14:textId="30EB0D51" w:rsidR="00E9469A" w:rsidRPr="00DA736B" w:rsidRDefault="00E9469A" w:rsidP="00DA736B">
      <w:pPr>
        <w:pStyle w:val="2"/>
      </w:pPr>
      <w:r w:rsidRPr="00DA736B">
        <w:rPr>
          <w:rFonts w:eastAsia="Times"/>
        </w:rPr>
        <w:lastRenderedPageBreak/>
        <w:t>Finite Element Analysis</w:t>
      </w:r>
    </w:p>
    <w:p w14:paraId="7AAEDC27" w14:textId="42FB53E7" w:rsidR="00E9469A" w:rsidRPr="007D7F8D" w:rsidRDefault="00E9469A" w:rsidP="007D7F8D">
      <w:pPr>
        <w:pStyle w:val="Paragraph"/>
        <w:rPr>
          <w:rFonts w:eastAsia="Times"/>
        </w:rPr>
      </w:pPr>
      <w:r w:rsidRPr="007D7F8D">
        <w:rPr>
          <w:rFonts w:eastAsia="Times"/>
        </w:rPr>
        <w:t xml:space="preserve">Finite Element Analysis (FEA) was performed using the Ansys software package to evaluate the </w:t>
      </w:r>
      <w:r w:rsidR="003969E0">
        <w:t>SSS</w:t>
      </w:r>
      <w:r w:rsidR="003969E0" w:rsidRPr="007D7F8D">
        <w:rPr>
          <w:rFonts w:eastAsia="Times"/>
        </w:rPr>
        <w:t xml:space="preserve"> </w:t>
      </w:r>
      <w:r w:rsidRPr="007D7F8D">
        <w:rPr>
          <w:rFonts w:eastAsia="Times"/>
        </w:rPr>
        <w:t>of the main frame under the specified loading conditions. Through this, the mean stress value in the frame structure was determined. To ensure convergence, mesh sensitivity was investigated and linear static structural analysis was conducted. The stress distribution was determined according to von Mises criterion. A portion of the finite element (FE) model of the main frame is illustrated in Figure 3. The mesh consists of elements with an average size of 40 mm and a minimum edge length of 6 mm. The overall model includes 904,277 nodes and 175,494 finite elements.</w:t>
      </w:r>
    </w:p>
    <w:p w14:paraId="2140B756" w14:textId="77777777" w:rsidR="00E9469A" w:rsidRPr="0042530D" w:rsidRDefault="00E9469A" w:rsidP="00B40809">
      <w:pPr>
        <w:pStyle w:val="Figure"/>
        <w:spacing w:before="120"/>
      </w:pPr>
      <w:r w:rsidRPr="00891988">
        <w:rPr>
          <w:noProof/>
          <w:lang w:val="en-GB"/>
        </w:rPr>
        <w:drawing>
          <wp:inline distT="0" distB="0" distL="0" distR="0" wp14:anchorId="08708098" wp14:editId="5CD4BFA4">
            <wp:extent cx="5940000" cy="2462400"/>
            <wp:effectExtent l="19050" t="19050" r="22860" b="14605"/>
            <wp:docPr id="3" name="Ras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000" cy="2462400"/>
                    </a:xfrm>
                    <a:prstGeom prst="rect">
                      <a:avLst/>
                    </a:prstGeom>
                    <a:noFill/>
                    <a:ln>
                      <a:solidFill>
                        <a:schemeClr val="tx1"/>
                      </a:solidFill>
                    </a:ln>
                  </pic:spPr>
                </pic:pic>
              </a:graphicData>
            </a:graphic>
          </wp:inline>
        </w:drawing>
      </w:r>
    </w:p>
    <w:p w14:paraId="4AC618C3" w14:textId="09FB3152" w:rsidR="00E9469A" w:rsidRDefault="00BE2799" w:rsidP="00B40809">
      <w:pPr>
        <w:pStyle w:val="FigureCaption"/>
        <w:spacing w:before="0" w:after="120"/>
        <w:rPr>
          <w:rFonts w:eastAsia="Times"/>
        </w:rPr>
      </w:pPr>
      <w:r w:rsidRPr="0042530D">
        <w:rPr>
          <w:rFonts w:eastAsia="Times"/>
          <w:b/>
        </w:rPr>
        <w:t>FIG</w:t>
      </w:r>
      <w:r>
        <w:rPr>
          <w:rFonts w:eastAsia="Times"/>
          <w:b/>
        </w:rPr>
        <w:t>URE</w:t>
      </w:r>
      <w:r w:rsidRPr="0042530D">
        <w:rPr>
          <w:rFonts w:eastAsia="Times"/>
          <w:b/>
        </w:rPr>
        <w:t xml:space="preserve"> </w:t>
      </w:r>
      <w:r w:rsidR="00E9469A">
        <w:rPr>
          <w:rFonts w:eastAsia="Times"/>
          <w:b/>
        </w:rPr>
        <w:t>3</w:t>
      </w:r>
      <w:r w:rsidR="00E9469A" w:rsidRPr="0042530D">
        <w:rPr>
          <w:rFonts w:eastAsia="Times"/>
          <w:b/>
        </w:rPr>
        <w:t>.</w:t>
      </w:r>
      <w:r w:rsidR="00E9469A" w:rsidRPr="0042530D">
        <w:rPr>
          <w:rFonts w:eastAsia="Times"/>
        </w:rPr>
        <w:t xml:space="preserve"> </w:t>
      </w:r>
      <w:r w:rsidR="00E9469A" w:rsidRPr="00730DE7">
        <w:rPr>
          <w:rFonts w:eastAsia="Times"/>
        </w:rPr>
        <w:t>Fragment of the main frame’s FE model</w:t>
      </w:r>
    </w:p>
    <w:p w14:paraId="2CB0C55C" w14:textId="45429A5D" w:rsidR="00E9469A" w:rsidRPr="0042530D" w:rsidRDefault="00E9469A" w:rsidP="00EC3EB1">
      <w:pPr>
        <w:pStyle w:val="2"/>
      </w:pPr>
      <w:r w:rsidRPr="00D86B22">
        <w:rPr>
          <w:rFonts w:eastAsia="Times"/>
        </w:rPr>
        <w:t xml:space="preserve">Strength </w:t>
      </w:r>
      <w:r w:rsidR="00EC3EB1" w:rsidRPr="00D86B22">
        <w:rPr>
          <w:rFonts w:eastAsia="Times"/>
        </w:rPr>
        <w:t>Assessment</w:t>
      </w:r>
    </w:p>
    <w:p w14:paraId="14903011" w14:textId="547F19DC" w:rsidR="00E9469A" w:rsidRPr="007D7F8D" w:rsidRDefault="00E9469A" w:rsidP="007D7F8D">
      <w:pPr>
        <w:pStyle w:val="Paragraph"/>
        <w:rPr>
          <w:rFonts w:eastAsia="Times"/>
        </w:rPr>
      </w:pPr>
      <w:r w:rsidRPr="007D7F8D">
        <w:rPr>
          <w:rFonts w:eastAsia="Times"/>
        </w:rPr>
        <w:t>The strength of the main frame is evaluated by calculating the allowable stress and fatigue safety factor according to the requirements of GOST 34939 [</w:t>
      </w:r>
      <w:r w:rsidRPr="009A07BA">
        <w:rPr>
          <w:rFonts w:eastAsia="Times"/>
        </w:rPr>
        <w:t>2</w:t>
      </w:r>
      <w:r w:rsidR="009A07BA" w:rsidRPr="009A07BA">
        <w:rPr>
          <w:rFonts w:eastAsia="Times"/>
        </w:rPr>
        <w:t>7</w:t>
      </w:r>
      <w:r w:rsidRPr="009A07BA">
        <w:rPr>
          <w:rFonts w:eastAsia="Times"/>
        </w:rPr>
        <w:t>, 2</w:t>
      </w:r>
      <w:r w:rsidR="009A07BA">
        <w:rPr>
          <w:rFonts w:eastAsia="Times"/>
        </w:rPr>
        <w:t>8</w:t>
      </w:r>
      <w:r w:rsidRPr="007D7F8D">
        <w:rPr>
          <w:rFonts w:eastAsia="Times"/>
        </w:rPr>
        <w:t xml:space="preserve">]. The load-bearing capacity of the main frame is assessed in calculation modes I, II, III, and IV based on allowable stresses relative to the </w:t>
      </w:r>
      <w:r w:rsidR="00F36D1C" w:rsidRPr="007D7F8D">
        <w:rPr>
          <w:rFonts w:eastAsia="Times"/>
        </w:rPr>
        <w:t>material’</w:t>
      </w:r>
      <w:r w:rsidRPr="007D7F8D">
        <w:rPr>
          <w:rFonts w:eastAsia="Times"/>
        </w:rPr>
        <w:t>s yield strength. Fatigue resistance is calculated based on the results of calculation mode III. In calculation mode III, the stress value should not exceed 60% of the yield strength. The fatigue safety factor must be n ≥ 2. The fatigue safety factor is calculated using formula (2) or (3) depending on the operating conditions of the structural elements. If the element operates under tensile stress, we use formula (2), and if it operates under bending stress, we use formula (3).</w:t>
      </w: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96"/>
        <w:gridCol w:w="293"/>
      </w:tblGrid>
      <w:tr w:rsidR="009719D3" w:rsidRPr="000009CD" w14:paraId="7D89ECCA" w14:textId="77777777" w:rsidTr="005527CA">
        <w:tc>
          <w:tcPr>
            <w:tcW w:w="9067" w:type="dxa"/>
            <w:vAlign w:val="center"/>
          </w:tcPr>
          <w:p w14:paraId="714CEEAA" w14:textId="301FDC41" w:rsidR="009719D3" w:rsidRPr="009719D3" w:rsidRDefault="009719D3" w:rsidP="0077650B">
            <w:pPr>
              <w:pStyle w:val="3"/>
              <w:spacing w:after="0"/>
              <w:rPr>
                <w:iCs w:val="0"/>
              </w:rPr>
            </w:pPr>
            <m:oMathPara>
              <m:oMath>
                <m:r>
                  <m:rPr>
                    <m:nor/>
                  </m:rPr>
                  <w:rPr>
                    <w:iCs w:val="0"/>
                  </w:rPr>
                  <m:t>n=</m:t>
                </m:r>
                <m:f>
                  <m:fPr>
                    <m:ctrlPr>
                      <w:rPr>
                        <w:rFonts w:ascii="Cambria Math" w:hAnsi="Cambria Math"/>
                        <w:iCs w:val="0"/>
                      </w:rPr>
                    </m:ctrlPr>
                  </m:fPr>
                  <m:num>
                    <m:sSub>
                      <m:sSubPr>
                        <m:ctrlPr>
                          <w:rPr>
                            <w:rFonts w:ascii="Cambria Math" w:hAnsi="Cambria Math"/>
                            <w:iCs w:val="0"/>
                          </w:rPr>
                        </m:ctrlPr>
                      </m:sSubPr>
                      <m:e>
                        <m:r>
                          <m:rPr>
                            <m:nor/>
                          </m:rPr>
                          <w:rPr>
                            <w:iCs w:val="0"/>
                          </w:rPr>
                          <m:t>σ</m:t>
                        </m:r>
                      </m:e>
                      <m:sub>
                        <m:r>
                          <m:rPr>
                            <m:nor/>
                          </m:rPr>
                          <w:rPr>
                            <w:iCs w:val="0"/>
                          </w:rPr>
                          <m:t>-1</m:t>
                        </m:r>
                      </m:sub>
                    </m:sSub>
                  </m:num>
                  <m:den>
                    <m:sSub>
                      <m:sSubPr>
                        <m:ctrlPr>
                          <w:rPr>
                            <w:rFonts w:ascii="Cambria Math" w:hAnsi="Cambria Math"/>
                            <w:iCs w:val="0"/>
                          </w:rPr>
                        </m:ctrlPr>
                      </m:sSubPr>
                      <m:e>
                        <m:r>
                          <m:rPr>
                            <m:nor/>
                          </m:rPr>
                          <w:rPr>
                            <w:iCs w:val="0"/>
                          </w:rPr>
                          <m:t>K</m:t>
                        </m:r>
                      </m:e>
                      <m:sub>
                        <m:r>
                          <m:rPr>
                            <m:nor/>
                          </m:rPr>
                          <w:rPr>
                            <w:iCs w:val="0"/>
                          </w:rPr>
                          <m:t>σ</m:t>
                        </m:r>
                      </m:sub>
                    </m:sSub>
                    <m:sSub>
                      <m:sSubPr>
                        <m:ctrlPr>
                          <w:rPr>
                            <w:rFonts w:ascii="Cambria Math" w:hAnsi="Cambria Math"/>
                            <w:iCs w:val="0"/>
                          </w:rPr>
                        </m:ctrlPr>
                      </m:sSubPr>
                      <m:e>
                        <m:r>
                          <m:rPr>
                            <m:nor/>
                          </m:rPr>
                          <w:rPr>
                            <w:iCs w:val="0"/>
                          </w:rPr>
                          <m:t>σ</m:t>
                        </m:r>
                      </m:e>
                      <m:sub>
                        <m:r>
                          <m:rPr>
                            <m:nor/>
                          </m:rPr>
                          <w:rPr>
                            <w:iCs w:val="0"/>
                          </w:rPr>
                          <m:t>a</m:t>
                        </m:r>
                      </m:sub>
                    </m:sSub>
                    <m:r>
                      <m:rPr>
                        <m:nor/>
                      </m:rPr>
                      <w:rPr>
                        <w:iCs w:val="0"/>
                      </w:rPr>
                      <m:t>+</m:t>
                    </m:r>
                    <m:sSub>
                      <m:sSubPr>
                        <m:ctrlPr>
                          <w:rPr>
                            <w:rFonts w:ascii="Cambria Math" w:hAnsi="Cambria Math"/>
                            <w:iCs w:val="0"/>
                          </w:rPr>
                        </m:ctrlPr>
                      </m:sSubPr>
                      <m:e>
                        <m:r>
                          <m:rPr>
                            <m:nor/>
                          </m:rPr>
                          <w:rPr>
                            <w:iCs w:val="0"/>
                            <w:color w:val="000000"/>
                          </w:rPr>
                          <m:t>ψ</m:t>
                        </m:r>
                      </m:e>
                      <m:sub>
                        <m:r>
                          <m:rPr>
                            <m:nor/>
                          </m:rPr>
                          <w:rPr>
                            <w:iCs w:val="0"/>
                          </w:rPr>
                          <m:t>σ</m:t>
                        </m:r>
                      </m:sub>
                    </m:sSub>
                    <m:f>
                      <m:fPr>
                        <m:ctrlPr>
                          <w:rPr>
                            <w:rFonts w:ascii="Cambria Math" w:hAnsi="Cambria Math"/>
                            <w:iCs w:val="0"/>
                          </w:rPr>
                        </m:ctrlPr>
                      </m:fPr>
                      <m:num>
                        <m:sSub>
                          <m:sSubPr>
                            <m:ctrlPr>
                              <w:rPr>
                                <w:rFonts w:ascii="Cambria Math" w:hAnsi="Cambria Math"/>
                                <w:iCs w:val="0"/>
                              </w:rPr>
                            </m:ctrlPr>
                          </m:sSubPr>
                          <m:e>
                            <m:r>
                              <m:rPr>
                                <m:nor/>
                              </m:rPr>
                              <w:rPr>
                                <w:iCs w:val="0"/>
                              </w:rPr>
                              <m:t>σ</m:t>
                            </m:r>
                          </m:e>
                          <m:sub>
                            <m:r>
                              <m:rPr>
                                <m:nor/>
                              </m:rPr>
                              <w:rPr>
                                <w:iCs w:val="0"/>
                              </w:rPr>
                              <m:t>m</m:t>
                            </m:r>
                          </m:sub>
                        </m:sSub>
                      </m:num>
                      <m:den>
                        <m:sSub>
                          <m:sSubPr>
                            <m:ctrlPr>
                              <w:rPr>
                                <w:rFonts w:ascii="Cambria Math" w:hAnsi="Cambria Math"/>
                                <w:iCs w:val="0"/>
                              </w:rPr>
                            </m:ctrlPr>
                          </m:sSubPr>
                          <m:e>
                            <m:r>
                              <m:rPr>
                                <m:nor/>
                              </m:rPr>
                              <w:rPr>
                                <w:iCs w:val="0"/>
                              </w:rPr>
                              <m:t>α</m:t>
                            </m:r>
                          </m:e>
                          <m:sub>
                            <m:r>
                              <m:rPr>
                                <m:nor/>
                              </m:rPr>
                              <w:rPr>
                                <w:iCs w:val="0"/>
                              </w:rPr>
                              <m:t>σ</m:t>
                            </m:r>
                          </m:sub>
                        </m:sSub>
                      </m:den>
                    </m:f>
                  </m:den>
                </m:f>
              </m:oMath>
            </m:oMathPara>
          </w:p>
        </w:tc>
        <w:tc>
          <w:tcPr>
            <w:tcW w:w="283" w:type="dxa"/>
            <w:vAlign w:val="center"/>
          </w:tcPr>
          <w:p w14:paraId="2F6CD73C" w14:textId="77777777" w:rsidR="009719D3" w:rsidRPr="002C0B10" w:rsidRDefault="009719D3" w:rsidP="00007086">
            <w:pPr>
              <w:pStyle w:val="Equation"/>
              <w:jc w:val="right"/>
            </w:pPr>
            <w:r>
              <w:t>(</w:t>
            </w:r>
            <w:r>
              <w:fldChar w:fldCharType="begin"/>
            </w:r>
            <w:r>
              <w:instrText xml:space="preserve"> LISTNUM  AIPTables </w:instrText>
            </w:r>
            <w:r>
              <w:fldChar w:fldCharType="end"/>
            </w:r>
            <w:r>
              <w:t>)</w:t>
            </w:r>
          </w:p>
        </w:tc>
      </w:tr>
      <w:tr w:rsidR="005527CA" w:rsidRPr="002C0B10" w14:paraId="3FAEA92B" w14:textId="77777777" w:rsidTr="005527CA">
        <w:tc>
          <w:tcPr>
            <w:tcW w:w="9067" w:type="dxa"/>
            <w:vAlign w:val="center"/>
          </w:tcPr>
          <w:p w14:paraId="168338A0" w14:textId="77777777" w:rsidR="005527CA" w:rsidRPr="009719D3" w:rsidRDefault="005527CA" w:rsidP="00007086">
            <w:pPr>
              <w:pStyle w:val="3"/>
              <w:rPr>
                <w:iCs w:val="0"/>
              </w:rPr>
            </w:pPr>
            <m:oMathPara>
              <m:oMath>
                <m:r>
                  <m:rPr>
                    <m:nor/>
                  </m:rPr>
                  <w:rPr>
                    <w:iCs w:val="0"/>
                  </w:rPr>
                  <m:t>n=</m:t>
                </m:r>
                <m:f>
                  <m:fPr>
                    <m:ctrlPr>
                      <w:rPr>
                        <w:rFonts w:ascii="Cambria Math" w:hAnsi="Cambria Math"/>
                        <w:iCs w:val="0"/>
                      </w:rPr>
                    </m:ctrlPr>
                  </m:fPr>
                  <m:num>
                    <m:sSub>
                      <m:sSubPr>
                        <m:ctrlPr>
                          <w:rPr>
                            <w:rFonts w:ascii="Cambria Math" w:hAnsi="Cambria Math"/>
                            <w:iCs w:val="0"/>
                          </w:rPr>
                        </m:ctrlPr>
                      </m:sSubPr>
                      <m:e>
                        <m:r>
                          <m:rPr>
                            <m:nor/>
                          </m:rPr>
                          <w:rPr>
                            <w:iCs w:val="0"/>
                          </w:rPr>
                          <m:t>σ</m:t>
                        </m:r>
                      </m:e>
                      <m:sub>
                        <m:r>
                          <m:rPr>
                            <m:nor/>
                          </m:rPr>
                          <w:rPr>
                            <w:iCs w:val="0"/>
                          </w:rPr>
                          <m:t>-1r</m:t>
                        </m:r>
                      </m:sub>
                    </m:sSub>
                  </m:num>
                  <m:den>
                    <m:sSub>
                      <m:sSubPr>
                        <m:ctrlPr>
                          <w:rPr>
                            <w:rFonts w:ascii="Cambria Math" w:hAnsi="Cambria Math"/>
                            <w:iCs w:val="0"/>
                          </w:rPr>
                        </m:ctrlPr>
                      </m:sSubPr>
                      <m:e>
                        <m:r>
                          <m:rPr>
                            <m:nor/>
                          </m:rPr>
                          <w:rPr>
                            <w:iCs w:val="0"/>
                          </w:rPr>
                          <m:t>K</m:t>
                        </m:r>
                      </m:e>
                      <m:sub>
                        <m:r>
                          <m:rPr>
                            <m:nor/>
                          </m:rPr>
                          <w:rPr>
                            <w:iCs w:val="0"/>
                          </w:rPr>
                          <m:t>σ</m:t>
                        </m:r>
                      </m:sub>
                    </m:sSub>
                    <m:sSub>
                      <m:sSubPr>
                        <m:ctrlPr>
                          <w:rPr>
                            <w:rFonts w:ascii="Cambria Math" w:hAnsi="Cambria Math"/>
                            <w:iCs w:val="0"/>
                          </w:rPr>
                        </m:ctrlPr>
                      </m:sSubPr>
                      <m:e>
                        <m:r>
                          <m:rPr>
                            <m:nor/>
                          </m:rPr>
                          <w:rPr>
                            <w:iCs w:val="0"/>
                          </w:rPr>
                          <m:t>σ</m:t>
                        </m:r>
                      </m:e>
                      <m:sub>
                        <m:r>
                          <m:rPr>
                            <m:nor/>
                          </m:rPr>
                          <w:rPr>
                            <w:iCs w:val="0"/>
                          </w:rPr>
                          <m:t>a</m:t>
                        </m:r>
                      </m:sub>
                    </m:sSub>
                    <m:r>
                      <m:rPr>
                        <m:nor/>
                      </m:rPr>
                      <w:rPr>
                        <w:iCs w:val="0"/>
                      </w:rPr>
                      <m:t>+</m:t>
                    </m:r>
                    <m:sSub>
                      <m:sSubPr>
                        <m:ctrlPr>
                          <w:rPr>
                            <w:rFonts w:ascii="Cambria Math" w:hAnsi="Cambria Math"/>
                            <w:iCs w:val="0"/>
                          </w:rPr>
                        </m:ctrlPr>
                      </m:sSubPr>
                      <m:e>
                        <m:r>
                          <m:rPr>
                            <m:nor/>
                          </m:rPr>
                          <w:rPr>
                            <w:iCs w:val="0"/>
                            <w:color w:val="000000"/>
                          </w:rPr>
                          <m:t>ψ</m:t>
                        </m:r>
                      </m:e>
                      <m:sub>
                        <m:r>
                          <m:rPr>
                            <m:nor/>
                          </m:rPr>
                          <w:rPr>
                            <w:iCs w:val="0"/>
                          </w:rPr>
                          <m:t>σ</m:t>
                        </m:r>
                      </m:sub>
                    </m:sSub>
                    <m:f>
                      <m:fPr>
                        <m:ctrlPr>
                          <w:rPr>
                            <w:rFonts w:ascii="Cambria Math" w:hAnsi="Cambria Math"/>
                            <w:iCs w:val="0"/>
                          </w:rPr>
                        </m:ctrlPr>
                      </m:fPr>
                      <m:num>
                        <m:sSub>
                          <m:sSubPr>
                            <m:ctrlPr>
                              <w:rPr>
                                <w:rFonts w:ascii="Cambria Math" w:hAnsi="Cambria Math"/>
                                <w:iCs w:val="0"/>
                              </w:rPr>
                            </m:ctrlPr>
                          </m:sSubPr>
                          <m:e>
                            <m:r>
                              <m:rPr>
                                <m:nor/>
                              </m:rPr>
                              <w:rPr>
                                <w:iCs w:val="0"/>
                              </w:rPr>
                              <m:t>σ</m:t>
                            </m:r>
                          </m:e>
                          <m:sub>
                            <m:r>
                              <m:rPr>
                                <m:nor/>
                              </m:rPr>
                              <w:rPr>
                                <w:iCs w:val="0"/>
                              </w:rPr>
                              <m:t>m</m:t>
                            </m:r>
                          </m:sub>
                        </m:sSub>
                      </m:num>
                      <m:den>
                        <m:sSub>
                          <m:sSubPr>
                            <m:ctrlPr>
                              <w:rPr>
                                <w:rFonts w:ascii="Cambria Math" w:hAnsi="Cambria Math"/>
                                <w:iCs w:val="0"/>
                              </w:rPr>
                            </m:ctrlPr>
                          </m:sSubPr>
                          <m:e>
                            <m:r>
                              <m:rPr>
                                <m:nor/>
                              </m:rPr>
                              <w:rPr>
                                <w:iCs w:val="0"/>
                              </w:rPr>
                              <m:t>α</m:t>
                            </m:r>
                          </m:e>
                          <m:sub>
                            <m:r>
                              <m:rPr>
                                <m:nor/>
                              </m:rPr>
                              <w:rPr>
                                <w:iCs w:val="0"/>
                              </w:rPr>
                              <m:t>σ</m:t>
                            </m:r>
                          </m:sub>
                        </m:sSub>
                      </m:den>
                    </m:f>
                  </m:den>
                </m:f>
              </m:oMath>
            </m:oMathPara>
          </w:p>
        </w:tc>
        <w:tc>
          <w:tcPr>
            <w:tcW w:w="283" w:type="dxa"/>
            <w:vAlign w:val="center"/>
          </w:tcPr>
          <w:p w14:paraId="43200D65" w14:textId="77777777" w:rsidR="005527CA" w:rsidRPr="002C0B10" w:rsidRDefault="005527CA" w:rsidP="00007086">
            <w:pPr>
              <w:pStyle w:val="Equation"/>
              <w:jc w:val="right"/>
            </w:pPr>
            <w:r>
              <w:t>(</w:t>
            </w:r>
            <w:r>
              <w:fldChar w:fldCharType="begin"/>
            </w:r>
            <w:r>
              <w:instrText xml:space="preserve"> LISTNUM  AIPTables </w:instrText>
            </w:r>
            <w:r>
              <w:fldChar w:fldCharType="end"/>
            </w:r>
            <w:r>
              <w:t>)</w:t>
            </w:r>
          </w:p>
        </w:tc>
      </w:tr>
    </w:tbl>
    <w:p w14:paraId="4A3424DC" w14:textId="77777777" w:rsidR="00E9469A" w:rsidRDefault="00E9469A" w:rsidP="00EC3EB1">
      <w:pPr>
        <w:pStyle w:val="Paragraph"/>
        <w:rPr>
          <w:rFonts w:eastAsia="Times"/>
        </w:rPr>
      </w:pPr>
      <w:r w:rsidRPr="00331D8A">
        <w:rPr>
          <w:rFonts w:eastAsia="Times"/>
        </w:rPr>
        <w:t xml:space="preserve">The concentration coefficient </w:t>
      </w:r>
      <w:proofErr w:type="spellStart"/>
      <w:r w:rsidRPr="005527CA">
        <w:rPr>
          <w:rFonts w:eastAsia="Times"/>
          <w:i/>
          <w:iCs/>
        </w:rPr>
        <w:t>K</w:t>
      </w:r>
      <w:r w:rsidRPr="005527CA">
        <w:rPr>
          <w:rFonts w:eastAsia="Times"/>
          <w:i/>
          <w:iCs/>
          <w:vertAlign w:val="subscript"/>
        </w:rPr>
        <w:t>σ</w:t>
      </w:r>
      <w:proofErr w:type="spellEnd"/>
      <w:r w:rsidRPr="00331D8A">
        <w:rPr>
          <w:rFonts w:eastAsia="Times"/>
        </w:rPr>
        <w:t xml:space="preserve"> is calculated based on the following formula (4):</w:t>
      </w: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96"/>
        <w:gridCol w:w="293"/>
      </w:tblGrid>
      <w:tr w:rsidR="005527CA" w:rsidRPr="002C0B10" w14:paraId="5432BEDE" w14:textId="77777777" w:rsidTr="005527CA">
        <w:tc>
          <w:tcPr>
            <w:tcW w:w="9077" w:type="dxa"/>
            <w:vAlign w:val="center"/>
          </w:tcPr>
          <w:p w14:paraId="4EBC90F6" w14:textId="26D126CC" w:rsidR="005527CA" w:rsidRPr="005527CA" w:rsidRDefault="00251D5C" w:rsidP="005527CA">
            <w:pPr>
              <w:pStyle w:val="3"/>
            </w:pPr>
            <m:oMathPara>
              <m:oMath>
                <m:sSub>
                  <m:sSubPr>
                    <m:ctrlPr>
                      <w:rPr>
                        <w:rFonts w:ascii="Cambria Math" w:hAnsi="Cambria Math"/>
                      </w:rPr>
                    </m:ctrlPr>
                  </m:sSubPr>
                  <m:e>
                    <m:r>
                      <m:rPr>
                        <m:nor/>
                      </m:rPr>
                      <m:t>K</m:t>
                    </m:r>
                  </m:e>
                  <m:sub>
                    <m:r>
                      <m:rPr>
                        <m:nor/>
                      </m:rPr>
                      <m:t>σ</m:t>
                    </m:r>
                  </m:sub>
                </m:sSub>
                <m:r>
                  <m:rPr>
                    <m:nor/>
                  </m:rPr>
                  <m:t>=</m:t>
                </m:r>
                <m:f>
                  <m:fPr>
                    <m:ctrlPr>
                      <w:rPr>
                        <w:rFonts w:ascii="Cambria Math" w:hAnsi="Cambria Math"/>
                      </w:rPr>
                    </m:ctrlPr>
                  </m:fPr>
                  <m:num>
                    <m:sSub>
                      <m:sSubPr>
                        <m:ctrlPr>
                          <w:rPr>
                            <w:rFonts w:ascii="Cambria Math" w:hAnsi="Cambria Math"/>
                          </w:rPr>
                        </m:ctrlPr>
                      </m:sSubPr>
                      <m:e>
                        <m:r>
                          <m:rPr>
                            <m:nor/>
                          </m:rPr>
                          <m:t>K</m:t>
                        </m:r>
                      </m:e>
                      <m:sub>
                        <m:r>
                          <m:rPr>
                            <m:nor/>
                          </m:rPr>
                          <m:t>1</m:t>
                        </m:r>
                      </m:sub>
                    </m:sSub>
                    <m:sSub>
                      <m:sSubPr>
                        <m:ctrlPr>
                          <w:rPr>
                            <w:rFonts w:ascii="Cambria Math" w:hAnsi="Cambria Math"/>
                          </w:rPr>
                        </m:ctrlPr>
                      </m:sSubPr>
                      <m:e>
                        <m:r>
                          <m:rPr>
                            <m:nor/>
                          </m:rPr>
                          <m:t>K</m:t>
                        </m:r>
                      </m:e>
                      <m:sub>
                        <m:r>
                          <m:rPr>
                            <m:nor/>
                          </m:rPr>
                          <m:t>2</m:t>
                        </m:r>
                      </m:sub>
                    </m:sSub>
                  </m:num>
                  <m:den>
                    <m:r>
                      <m:rPr>
                        <m:nor/>
                      </m:rPr>
                      <m:t>γ</m:t>
                    </m:r>
                    <m:sSub>
                      <m:sSubPr>
                        <m:ctrlPr>
                          <w:rPr>
                            <w:rFonts w:ascii="Cambria Math" w:hAnsi="Cambria Math"/>
                          </w:rPr>
                        </m:ctrlPr>
                      </m:sSubPr>
                      <m:e>
                        <m:r>
                          <m:rPr>
                            <m:nor/>
                          </m:rPr>
                          <m:t>K</m:t>
                        </m:r>
                      </m:e>
                      <m:sub>
                        <m:r>
                          <m:rPr>
                            <m:nor/>
                          </m:rPr>
                          <m:t>m</m:t>
                        </m:r>
                      </m:sub>
                    </m:sSub>
                  </m:den>
                </m:f>
                <m:sSub>
                  <m:sSubPr>
                    <m:ctrlPr>
                      <w:rPr>
                        <w:rFonts w:ascii="Cambria Math" w:hAnsi="Cambria Math"/>
                      </w:rPr>
                    </m:ctrlPr>
                  </m:sSubPr>
                  <m:e>
                    <m:r>
                      <m:rPr>
                        <m:nor/>
                      </m:rPr>
                      <m:t>K</m:t>
                    </m:r>
                  </m:e>
                  <m:sub>
                    <m:r>
                      <m:rPr>
                        <m:nor/>
                      </m:rPr>
                      <m:t>3</m:t>
                    </m:r>
                  </m:sub>
                </m:sSub>
              </m:oMath>
            </m:oMathPara>
          </w:p>
        </w:tc>
        <w:tc>
          <w:tcPr>
            <w:tcW w:w="283" w:type="dxa"/>
            <w:vAlign w:val="center"/>
          </w:tcPr>
          <w:p w14:paraId="3311FD64" w14:textId="77777777" w:rsidR="005527CA" w:rsidRPr="002C0B10" w:rsidRDefault="005527CA" w:rsidP="00007086">
            <w:pPr>
              <w:pStyle w:val="Equation"/>
              <w:jc w:val="right"/>
            </w:pPr>
            <w:r>
              <w:t>(</w:t>
            </w:r>
            <w:r>
              <w:fldChar w:fldCharType="begin"/>
            </w:r>
            <w:r>
              <w:instrText xml:space="preserve"> LISTNUM  AIPTables </w:instrText>
            </w:r>
            <w:r>
              <w:fldChar w:fldCharType="end"/>
            </w:r>
            <w:r>
              <w:t>)</w:t>
            </w:r>
          </w:p>
        </w:tc>
      </w:tr>
    </w:tbl>
    <w:p w14:paraId="5FDA2CD4" w14:textId="77777777" w:rsidR="00E9469A" w:rsidRDefault="00E9469A" w:rsidP="00EC3EB1">
      <w:pPr>
        <w:pStyle w:val="Paragraph"/>
        <w:rPr>
          <w:rFonts w:eastAsia="Times"/>
        </w:rPr>
      </w:pPr>
      <w:r w:rsidRPr="00331D8A">
        <w:rPr>
          <w:rFonts w:eastAsia="Times"/>
        </w:rPr>
        <w:t>The amplitude value of the cycle stress is determined by the following formula (5):</w:t>
      </w: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96"/>
        <w:gridCol w:w="293"/>
      </w:tblGrid>
      <w:tr w:rsidR="00EC3EB1" w:rsidRPr="002C0B10" w14:paraId="5AEC4148" w14:textId="77777777" w:rsidTr="00007086">
        <w:tc>
          <w:tcPr>
            <w:tcW w:w="9077" w:type="dxa"/>
            <w:vAlign w:val="center"/>
          </w:tcPr>
          <w:p w14:paraId="06CC8837" w14:textId="73513D5A" w:rsidR="00EC3EB1" w:rsidRPr="005527CA" w:rsidRDefault="00251D5C" w:rsidP="00007086">
            <w:pPr>
              <w:pStyle w:val="3"/>
            </w:pPr>
            <m:oMathPara>
              <m:oMath>
                <m:sSub>
                  <m:sSubPr>
                    <m:ctrlPr>
                      <w:rPr>
                        <w:rFonts w:ascii="Cambria Math" w:hAnsi="Cambria Math"/>
                      </w:rPr>
                    </m:ctrlPr>
                  </m:sSubPr>
                  <m:e>
                    <m:r>
                      <m:rPr>
                        <m:nor/>
                      </m:rPr>
                      <m:t>σ</m:t>
                    </m:r>
                  </m:e>
                  <m:sub>
                    <m:r>
                      <m:rPr>
                        <m:nor/>
                      </m:rPr>
                      <m:t>a</m:t>
                    </m:r>
                  </m:sub>
                </m:sSub>
                <m:r>
                  <m:rPr>
                    <m:nor/>
                  </m:rPr>
                  <m:t>=</m:t>
                </m:r>
                <m:f>
                  <m:fPr>
                    <m:ctrlPr>
                      <w:rPr>
                        <w:rFonts w:ascii="Cambria Math" w:hAnsi="Cambria Math"/>
                      </w:rPr>
                    </m:ctrlPr>
                  </m:fPr>
                  <m:num>
                    <m:sSub>
                      <m:sSubPr>
                        <m:ctrlPr>
                          <w:rPr>
                            <w:rFonts w:ascii="Cambria Math" w:hAnsi="Cambria Math"/>
                          </w:rPr>
                        </m:ctrlPr>
                      </m:sSubPr>
                      <m:e>
                        <m:sSub>
                          <m:sSubPr>
                            <m:ctrlPr>
                              <w:rPr>
                                <w:rFonts w:ascii="Cambria Math" w:hAnsi="Cambria Math"/>
                              </w:rPr>
                            </m:ctrlPr>
                          </m:sSubPr>
                          <m:e>
                            <m:r>
                              <m:rPr>
                                <m:nor/>
                              </m:rPr>
                              <m:t>σ</m:t>
                            </m:r>
                          </m:e>
                          <m:sub>
                            <m:r>
                              <m:rPr>
                                <m:nor/>
                              </m:rPr>
                              <m:t>max</m:t>
                            </m:r>
                          </m:sub>
                        </m:sSub>
                        <m:r>
                          <m:rPr>
                            <m:nor/>
                          </m:rPr>
                          <m:t>-σ</m:t>
                        </m:r>
                      </m:e>
                      <m:sub>
                        <m:r>
                          <m:rPr>
                            <m:nor/>
                          </m:rPr>
                          <m:t>min</m:t>
                        </m:r>
                      </m:sub>
                    </m:sSub>
                  </m:num>
                  <m:den>
                    <m:r>
                      <m:rPr>
                        <m:nor/>
                      </m:rPr>
                      <m:t>2</m:t>
                    </m:r>
                  </m:den>
                </m:f>
              </m:oMath>
            </m:oMathPara>
          </w:p>
        </w:tc>
        <w:tc>
          <w:tcPr>
            <w:tcW w:w="283" w:type="dxa"/>
            <w:vAlign w:val="center"/>
          </w:tcPr>
          <w:p w14:paraId="6F924EF7" w14:textId="77777777" w:rsidR="00EC3EB1" w:rsidRPr="002C0B10" w:rsidRDefault="00EC3EB1" w:rsidP="00007086">
            <w:pPr>
              <w:pStyle w:val="Equation"/>
              <w:jc w:val="right"/>
            </w:pPr>
            <w:r>
              <w:t>(</w:t>
            </w:r>
            <w:r>
              <w:fldChar w:fldCharType="begin"/>
            </w:r>
            <w:r>
              <w:instrText xml:space="preserve"> LISTNUM  AIPTables </w:instrText>
            </w:r>
            <w:r>
              <w:fldChar w:fldCharType="end"/>
            </w:r>
            <w:r>
              <w:t>)</w:t>
            </w:r>
          </w:p>
        </w:tc>
      </w:tr>
    </w:tbl>
    <w:p w14:paraId="0ED55EF3" w14:textId="77777777" w:rsidR="00E9469A" w:rsidRDefault="00E9469A" w:rsidP="00EC3EB1">
      <w:pPr>
        <w:pStyle w:val="Paragraph"/>
        <w:rPr>
          <w:rFonts w:eastAsia="Times"/>
        </w:rPr>
      </w:pPr>
      <w:r w:rsidRPr="000009CD">
        <w:rPr>
          <w:rFonts w:eastAsia="Times"/>
        </w:rPr>
        <w:t>The maximum and minimum stress values of the cycle occurring during the movement of the traction unit are determined by formulas (6) and (7):</w:t>
      </w: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96"/>
        <w:gridCol w:w="293"/>
      </w:tblGrid>
      <w:tr w:rsidR="00EC3EB1" w:rsidRPr="000009CD" w14:paraId="0D02F832" w14:textId="77777777" w:rsidTr="00007086">
        <w:tc>
          <w:tcPr>
            <w:tcW w:w="9067" w:type="dxa"/>
            <w:vAlign w:val="center"/>
          </w:tcPr>
          <w:p w14:paraId="526D96A3" w14:textId="6326C158" w:rsidR="00EC3EB1" w:rsidRPr="00EC3EB1" w:rsidRDefault="00251D5C" w:rsidP="00007086">
            <w:pPr>
              <w:pStyle w:val="3"/>
            </w:pPr>
            <m:oMathPara>
              <m:oMath>
                <m:sSub>
                  <m:sSubPr>
                    <m:ctrlPr>
                      <w:rPr>
                        <w:rFonts w:ascii="Cambria Math" w:hAnsi="Cambria Math"/>
                      </w:rPr>
                    </m:ctrlPr>
                  </m:sSubPr>
                  <m:e>
                    <m:r>
                      <m:rPr>
                        <m:nor/>
                      </m:rPr>
                      <m:t>σ</m:t>
                    </m:r>
                  </m:e>
                  <m:sub>
                    <m:r>
                      <m:rPr>
                        <m:nor/>
                      </m:rPr>
                      <m:t>max</m:t>
                    </m:r>
                  </m:sub>
                </m:sSub>
                <m:r>
                  <m:rPr>
                    <m:nor/>
                  </m:rPr>
                  <m:t>=</m:t>
                </m:r>
                <m:sSub>
                  <m:sSubPr>
                    <m:ctrlPr>
                      <w:rPr>
                        <w:rFonts w:ascii="Cambria Math" w:hAnsi="Cambria Math"/>
                      </w:rPr>
                    </m:ctrlPr>
                  </m:sSubPr>
                  <m:e>
                    <m:r>
                      <m:rPr>
                        <m:nor/>
                      </m:rPr>
                      <m:t>σ</m:t>
                    </m:r>
                  </m:e>
                  <m:sub>
                    <m:r>
                      <m:rPr>
                        <m:nor/>
                      </m:rPr>
                      <m:t>m</m:t>
                    </m:r>
                  </m:sub>
                </m:sSub>
                <m:d>
                  <m:dPr>
                    <m:ctrlPr>
                      <w:rPr>
                        <w:rFonts w:ascii="Cambria Math" w:hAnsi="Cambria Math"/>
                      </w:rPr>
                    </m:ctrlPr>
                  </m:dPr>
                  <m:e>
                    <m:r>
                      <m:rPr>
                        <m:nor/>
                      </m:rPr>
                      <m:t>1+</m:t>
                    </m:r>
                    <m:sSub>
                      <m:sSubPr>
                        <m:ctrlPr>
                          <w:rPr>
                            <w:rFonts w:ascii="Cambria Math" w:hAnsi="Cambria Math"/>
                          </w:rPr>
                        </m:ctrlPr>
                      </m:sSubPr>
                      <m:e>
                        <m:r>
                          <m:rPr>
                            <m:nor/>
                          </m:rPr>
                          <m:t>K</m:t>
                        </m:r>
                      </m:e>
                      <m:sub>
                        <m:r>
                          <m:rPr>
                            <m:nor/>
                          </m:rPr>
                          <m:t>D</m:t>
                        </m:r>
                      </m:sub>
                    </m:sSub>
                  </m:e>
                </m:d>
              </m:oMath>
            </m:oMathPara>
          </w:p>
        </w:tc>
        <w:tc>
          <w:tcPr>
            <w:tcW w:w="283" w:type="dxa"/>
            <w:vAlign w:val="center"/>
          </w:tcPr>
          <w:p w14:paraId="5138D9A9" w14:textId="77777777" w:rsidR="00EC3EB1" w:rsidRPr="002C0B10" w:rsidRDefault="00EC3EB1" w:rsidP="00007086">
            <w:pPr>
              <w:pStyle w:val="Equation"/>
              <w:jc w:val="right"/>
            </w:pPr>
            <w:r>
              <w:t>(</w:t>
            </w:r>
            <w:r>
              <w:fldChar w:fldCharType="begin"/>
            </w:r>
            <w:r>
              <w:instrText xml:space="preserve"> LISTNUM  AIPTables </w:instrText>
            </w:r>
            <w:r>
              <w:fldChar w:fldCharType="end"/>
            </w:r>
            <w:r>
              <w:t>)</w:t>
            </w:r>
          </w:p>
        </w:tc>
      </w:tr>
      <w:tr w:rsidR="00EC3EB1" w:rsidRPr="002C0B10" w14:paraId="5E7D2B9A" w14:textId="77777777" w:rsidTr="00007086">
        <w:tc>
          <w:tcPr>
            <w:tcW w:w="9067" w:type="dxa"/>
            <w:vAlign w:val="center"/>
          </w:tcPr>
          <w:p w14:paraId="45F85ACC" w14:textId="5B082CBB" w:rsidR="00EC3EB1" w:rsidRPr="00EC3EB1" w:rsidRDefault="00251D5C" w:rsidP="00EC3EB1">
            <w:pPr>
              <w:pStyle w:val="3"/>
            </w:pPr>
            <m:oMathPara>
              <m:oMath>
                <m:sSub>
                  <m:sSubPr>
                    <m:ctrlPr>
                      <w:rPr>
                        <w:rFonts w:ascii="Cambria Math" w:hAnsi="Cambria Math"/>
                      </w:rPr>
                    </m:ctrlPr>
                  </m:sSubPr>
                  <m:e>
                    <m:r>
                      <m:rPr>
                        <m:nor/>
                      </m:rPr>
                      <m:t>σ</m:t>
                    </m:r>
                  </m:e>
                  <m:sub>
                    <m:r>
                      <m:rPr>
                        <m:nor/>
                      </m:rPr>
                      <m:t>min</m:t>
                    </m:r>
                  </m:sub>
                </m:sSub>
                <m:r>
                  <m:rPr>
                    <m:nor/>
                  </m:rPr>
                  <m:t>=</m:t>
                </m:r>
                <m:sSub>
                  <m:sSubPr>
                    <m:ctrlPr>
                      <w:rPr>
                        <w:rFonts w:ascii="Cambria Math" w:hAnsi="Cambria Math"/>
                      </w:rPr>
                    </m:ctrlPr>
                  </m:sSubPr>
                  <m:e>
                    <m:r>
                      <m:rPr>
                        <m:nor/>
                      </m:rPr>
                      <m:t>σ</m:t>
                    </m:r>
                  </m:e>
                  <m:sub>
                    <m:r>
                      <m:rPr>
                        <m:nor/>
                      </m:rPr>
                      <m:t>m</m:t>
                    </m:r>
                  </m:sub>
                </m:sSub>
                <m:d>
                  <m:dPr>
                    <m:ctrlPr>
                      <w:rPr>
                        <w:rFonts w:ascii="Cambria Math" w:hAnsi="Cambria Math"/>
                      </w:rPr>
                    </m:ctrlPr>
                  </m:dPr>
                  <m:e>
                    <m:r>
                      <m:rPr>
                        <m:nor/>
                      </m:rPr>
                      <m:t>1-</m:t>
                    </m:r>
                    <m:sSub>
                      <m:sSubPr>
                        <m:ctrlPr>
                          <w:rPr>
                            <w:rFonts w:ascii="Cambria Math" w:hAnsi="Cambria Math"/>
                          </w:rPr>
                        </m:ctrlPr>
                      </m:sSubPr>
                      <m:e>
                        <m:r>
                          <m:rPr>
                            <m:nor/>
                          </m:rPr>
                          <m:t>K</m:t>
                        </m:r>
                      </m:e>
                      <m:sub>
                        <m:r>
                          <m:rPr>
                            <m:nor/>
                          </m:rPr>
                          <m:t>D</m:t>
                        </m:r>
                      </m:sub>
                    </m:sSub>
                  </m:e>
                </m:d>
              </m:oMath>
            </m:oMathPara>
          </w:p>
        </w:tc>
        <w:tc>
          <w:tcPr>
            <w:tcW w:w="283" w:type="dxa"/>
            <w:vAlign w:val="center"/>
          </w:tcPr>
          <w:p w14:paraId="63C02CA2" w14:textId="77777777" w:rsidR="00EC3EB1" w:rsidRPr="002C0B10" w:rsidRDefault="00EC3EB1" w:rsidP="00007086">
            <w:pPr>
              <w:pStyle w:val="Equation"/>
              <w:jc w:val="right"/>
            </w:pPr>
            <w:r>
              <w:t>(</w:t>
            </w:r>
            <w:r>
              <w:fldChar w:fldCharType="begin"/>
            </w:r>
            <w:r>
              <w:instrText xml:space="preserve"> LISTNUM  AIPTables </w:instrText>
            </w:r>
            <w:r>
              <w:fldChar w:fldCharType="end"/>
            </w:r>
            <w:r>
              <w:t>)</w:t>
            </w:r>
          </w:p>
        </w:tc>
      </w:tr>
    </w:tbl>
    <w:p w14:paraId="0C612E8A" w14:textId="77777777" w:rsidR="00E9469A" w:rsidRDefault="00E9469A" w:rsidP="00EC3EB1">
      <w:pPr>
        <w:pStyle w:val="Paragraph"/>
        <w:rPr>
          <w:rFonts w:eastAsia="Times"/>
        </w:rPr>
      </w:pPr>
      <w:r w:rsidRPr="000009CD">
        <w:rPr>
          <w:rFonts w:eastAsia="Times"/>
        </w:rPr>
        <w:t>We determine the calculated value of the vertical dynamic coefficient for the car body frame using formula (8):</w:t>
      </w: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96"/>
        <w:gridCol w:w="293"/>
      </w:tblGrid>
      <w:tr w:rsidR="00EC3EB1" w:rsidRPr="002C0B10" w14:paraId="36DFA694" w14:textId="77777777" w:rsidTr="00007086">
        <w:tc>
          <w:tcPr>
            <w:tcW w:w="9077" w:type="dxa"/>
            <w:vAlign w:val="center"/>
          </w:tcPr>
          <w:p w14:paraId="0880B307" w14:textId="580ACC0C" w:rsidR="00EC3EB1" w:rsidRPr="00EC3EB1" w:rsidRDefault="00251D5C" w:rsidP="00007086">
            <w:pPr>
              <w:pStyle w:val="3"/>
            </w:pPr>
            <m:oMathPara>
              <m:oMath>
                <m:sSub>
                  <m:sSubPr>
                    <m:ctrlPr>
                      <w:rPr>
                        <w:rFonts w:ascii="Cambria Math" w:hAnsi="Cambria Math"/>
                        <w:lang w:eastAsia="en-US"/>
                      </w:rPr>
                    </m:ctrlPr>
                  </m:sSubPr>
                  <m:e>
                    <m:r>
                      <m:rPr>
                        <m:nor/>
                      </m:rPr>
                      <w:rPr>
                        <w:lang w:eastAsia="en-US"/>
                      </w:rPr>
                      <m:t>K</m:t>
                    </m:r>
                  </m:e>
                  <m:sub>
                    <m:r>
                      <m:rPr>
                        <m:nor/>
                      </m:rPr>
                      <w:rPr>
                        <w:lang w:eastAsia="en-US"/>
                      </w:rPr>
                      <m:t>D</m:t>
                    </m:r>
                  </m:sub>
                </m:sSub>
                <m:r>
                  <m:rPr>
                    <m:nor/>
                  </m:rPr>
                  <w:rPr>
                    <w:lang w:eastAsia="en-US"/>
                  </w:rPr>
                  <m:t>=</m:t>
                </m:r>
                <m:d>
                  <m:dPr>
                    <m:ctrlPr>
                      <w:rPr>
                        <w:rFonts w:ascii="Cambria Math" w:hAnsi="Cambria Math"/>
                        <w:lang w:eastAsia="en-US"/>
                      </w:rPr>
                    </m:ctrlPr>
                  </m:dPr>
                  <m:e>
                    <m:f>
                      <m:fPr>
                        <m:ctrlPr>
                          <w:rPr>
                            <w:rFonts w:ascii="Cambria Math" w:hAnsi="Cambria Math"/>
                            <w:lang w:eastAsia="en-US"/>
                          </w:rPr>
                        </m:ctrlPr>
                      </m:fPr>
                      <m:num>
                        <m:r>
                          <m:rPr>
                            <m:nor/>
                          </m:rPr>
                          <w:rPr>
                            <w:lang w:eastAsia="en-US"/>
                          </w:rPr>
                          <m:t>0,006</m:t>
                        </m:r>
                      </m:num>
                      <m:den>
                        <m:sSub>
                          <m:sSubPr>
                            <m:ctrlPr>
                              <w:rPr>
                                <w:rFonts w:ascii="Cambria Math" w:hAnsi="Cambria Math"/>
                                <w:lang w:eastAsia="en-US"/>
                              </w:rPr>
                            </m:ctrlPr>
                          </m:sSubPr>
                          <m:e>
                            <m:r>
                              <m:rPr>
                                <m:nor/>
                              </m:rPr>
                              <w:rPr>
                                <w:lang w:eastAsia="en-US"/>
                              </w:rPr>
                              <m:t>f</m:t>
                            </m:r>
                          </m:e>
                          <m:sub>
                            <m:r>
                              <m:rPr>
                                <m:nor/>
                              </m:rPr>
                              <w:rPr>
                                <w:lang w:eastAsia="en-US"/>
                              </w:rPr>
                              <m:t>st</m:t>
                            </m:r>
                          </m:sub>
                        </m:sSub>
                      </m:den>
                    </m:f>
                    <m:r>
                      <m:rPr>
                        <m:nor/>
                      </m:rPr>
                      <w:rPr>
                        <w:lang w:eastAsia="en-US"/>
                      </w:rPr>
                      <m:t>-0,004</m:t>
                    </m:r>
                  </m:e>
                </m:d>
                <m:rad>
                  <m:radPr>
                    <m:degHide m:val="1"/>
                    <m:ctrlPr>
                      <w:rPr>
                        <w:rFonts w:ascii="Cambria Math" w:hAnsi="Cambria Math"/>
                        <w:lang w:eastAsia="en-US"/>
                      </w:rPr>
                    </m:ctrlPr>
                  </m:radPr>
                  <m:deg/>
                  <m:e>
                    <m:r>
                      <m:rPr>
                        <m:nor/>
                      </m:rPr>
                      <w:rPr>
                        <w:lang w:eastAsia="en-US"/>
                      </w:rPr>
                      <m:t>V</m:t>
                    </m:r>
                  </m:e>
                </m:rad>
              </m:oMath>
            </m:oMathPara>
          </w:p>
        </w:tc>
        <w:tc>
          <w:tcPr>
            <w:tcW w:w="283" w:type="dxa"/>
            <w:vAlign w:val="center"/>
          </w:tcPr>
          <w:p w14:paraId="4C60C12D" w14:textId="77777777" w:rsidR="00EC3EB1" w:rsidRPr="002C0B10" w:rsidRDefault="00EC3EB1" w:rsidP="00007086">
            <w:pPr>
              <w:pStyle w:val="Equation"/>
              <w:jc w:val="right"/>
            </w:pPr>
            <w:r>
              <w:t>(</w:t>
            </w:r>
            <w:r>
              <w:fldChar w:fldCharType="begin"/>
            </w:r>
            <w:r>
              <w:instrText xml:space="preserve"> LISTNUM  AIPTables </w:instrText>
            </w:r>
            <w:r>
              <w:fldChar w:fldCharType="end"/>
            </w:r>
            <w:r>
              <w:t>)</w:t>
            </w:r>
          </w:p>
        </w:tc>
      </w:tr>
    </w:tbl>
    <w:p w14:paraId="0BB3541B" w14:textId="77777777" w:rsidR="00E9469A" w:rsidRDefault="00E9469A" w:rsidP="00B40809">
      <w:pPr>
        <w:pStyle w:val="Paragraph"/>
        <w:spacing w:after="120"/>
        <w:rPr>
          <w:rFonts w:eastAsia="Times"/>
        </w:rPr>
      </w:pPr>
      <w:r w:rsidRPr="00D125A9">
        <w:rPr>
          <w:rFonts w:eastAsia="Times"/>
        </w:rPr>
        <w:t xml:space="preserve">We accept the stresses resulting from constant vertical static loads as the mean stress </w:t>
      </w:r>
      <w:proofErr w:type="spellStart"/>
      <w:r w:rsidRPr="00EC3EB1">
        <w:rPr>
          <w:rFonts w:eastAsia="Times"/>
          <w:i/>
          <w:iCs/>
        </w:rPr>
        <w:t>σ</w:t>
      </w:r>
      <w:r w:rsidRPr="00EC3EB1">
        <w:rPr>
          <w:rFonts w:eastAsia="Times"/>
          <w:i/>
          <w:iCs/>
          <w:vertAlign w:val="subscript"/>
        </w:rPr>
        <w:t>m</w:t>
      </w:r>
      <w:proofErr w:type="spellEnd"/>
      <w:r w:rsidRPr="00D125A9">
        <w:rPr>
          <w:rFonts w:eastAsia="Times"/>
        </w:rPr>
        <w:t xml:space="preserve"> of the cycle, determined by the FEA. The initial data for calculations are presented in Table 3.</w:t>
      </w:r>
    </w:p>
    <w:tbl>
      <w:tblPr>
        <w:tblW w:w="5000" w:type="pct"/>
        <w:jc w:val="center"/>
        <w:tblBorders>
          <w:bottom w:val="single" w:sz="4" w:space="0" w:color="auto"/>
        </w:tblBorders>
        <w:tblLayout w:type="fixed"/>
        <w:tblLook w:val="0000" w:firstRow="0" w:lastRow="0" w:firstColumn="0" w:lastColumn="0" w:noHBand="0" w:noVBand="0"/>
      </w:tblPr>
      <w:tblGrid>
        <w:gridCol w:w="1028"/>
        <w:gridCol w:w="7776"/>
        <w:gridCol w:w="885"/>
      </w:tblGrid>
      <w:tr w:rsidR="000A7BF0" w:rsidRPr="007D7F8D" w14:paraId="2BE5D26E" w14:textId="33A9A40C" w:rsidTr="00B40809">
        <w:trPr>
          <w:cantSplit/>
          <w:trHeight w:val="60"/>
          <w:jc w:val="center"/>
        </w:trPr>
        <w:tc>
          <w:tcPr>
            <w:tcW w:w="9689" w:type="dxa"/>
            <w:gridSpan w:val="3"/>
            <w:tcBorders>
              <w:bottom w:val="nil"/>
            </w:tcBorders>
          </w:tcPr>
          <w:p w14:paraId="0E074152" w14:textId="667B268C" w:rsidR="000A7BF0" w:rsidRPr="007D7F8D" w:rsidRDefault="000A7BF0" w:rsidP="0077650B">
            <w:pPr>
              <w:pStyle w:val="TableCaption"/>
              <w:spacing w:before="0"/>
              <w:rPr>
                <w:b/>
              </w:rPr>
            </w:pPr>
            <w:r w:rsidRPr="007D7F8D">
              <w:rPr>
                <w:b/>
              </w:rPr>
              <w:t xml:space="preserve">TABLE 3. </w:t>
            </w:r>
            <w:r w:rsidRPr="007D7F8D">
              <w:rPr>
                <w:rFonts w:eastAsia="Times"/>
              </w:rPr>
              <w:t>Initial data for assessing the fatigue resistance of the main frame in accordance with regulatory requirements.</w:t>
            </w:r>
          </w:p>
        </w:tc>
      </w:tr>
      <w:tr w:rsidR="000A7BF0" w:rsidRPr="007D7F8D" w14:paraId="4783273D" w14:textId="47619BEA" w:rsidTr="00B40809">
        <w:trPr>
          <w:cantSplit/>
          <w:trHeight w:val="52"/>
          <w:jc w:val="center"/>
        </w:trPr>
        <w:tc>
          <w:tcPr>
            <w:tcW w:w="1028" w:type="dxa"/>
            <w:tcBorders>
              <w:top w:val="single" w:sz="4" w:space="0" w:color="auto"/>
              <w:bottom w:val="single" w:sz="4" w:space="0" w:color="auto"/>
            </w:tcBorders>
          </w:tcPr>
          <w:p w14:paraId="2AC6820E" w14:textId="1BFD170C" w:rsidR="000A7BF0" w:rsidRPr="007D7F8D" w:rsidRDefault="000A7BF0" w:rsidP="00007086">
            <w:pPr>
              <w:pStyle w:val="TableCaption"/>
              <w:spacing w:before="0"/>
              <w:rPr>
                <w:b/>
              </w:rPr>
            </w:pPr>
            <w:r w:rsidRPr="007D7F8D">
              <w:rPr>
                <w:b/>
              </w:rPr>
              <w:t>Notation</w:t>
            </w:r>
          </w:p>
        </w:tc>
        <w:tc>
          <w:tcPr>
            <w:tcW w:w="7776" w:type="dxa"/>
            <w:tcBorders>
              <w:top w:val="single" w:sz="4" w:space="0" w:color="auto"/>
              <w:bottom w:val="single" w:sz="4" w:space="0" w:color="auto"/>
            </w:tcBorders>
          </w:tcPr>
          <w:p w14:paraId="1C78207D" w14:textId="3ACCD041" w:rsidR="000A7BF0" w:rsidRPr="007D7F8D" w:rsidRDefault="000A7BF0" w:rsidP="00007086">
            <w:pPr>
              <w:pStyle w:val="TableCaption"/>
              <w:spacing w:before="0"/>
              <w:rPr>
                <w:b/>
              </w:rPr>
            </w:pPr>
            <w:r w:rsidRPr="007D7F8D">
              <w:rPr>
                <w:b/>
              </w:rPr>
              <w:t>Parameter</w:t>
            </w:r>
          </w:p>
        </w:tc>
        <w:tc>
          <w:tcPr>
            <w:tcW w:w="885" w:type="dxa"/>
            <w:tcBorders>
              <w:top w:val="single" w:sz="4" w:space="0" w:color="auto"/>
              <w:bottom w:val="single" w:sz="4" w:space="0" w:color="auto"/>
            </w:tcBorders>
          </w:tcPr>
          <w:p w14:paraId="06A73189" w14:textId="45CB4D45" w:rsidR="000A7BF0" w:rsidRPr="007D7F8D" w:rsidRDefault="007D7F8D" w:rsidP="00007086">
            <w:pPr>
              <w:pStyle w:val="TableCaption"/>
              <w:spacing w:before="0"/>
              <w:rPr>
                <w:b/>
              </w:rPr>
            </w:pPr>
            <w:r w:rsidRPr="007D7F8D">
              <w:rPr>
                <w:b/>
              </w:rPr>
              <w:t>V</w:t>
            </w:r>
            <w:r w:rsidR="000A7BF0" w:rsidRPr="007D7F8D">
              <w:rPr>
                <w:b/>
              </w:rPr>
              <w:t>alue</w:t>
            </w:r>
          </w:p>
        </w:tc>
      </w:tr>
      <w:tr w:rsidR="000A7BF0" w:rsidRPr="007D7F8D" w14:paraId="3858AFEF" w14:textId="5723F9DC" w:rsidTr="00B40809">
        <w:trPr>
          <w:cantSplit/>
          <w:trHeight w:val="52"/>
          <w:jc w:val="center"/>
        </w:trPr>
        <w:tc>
          <w:tcPr>
            <w:tcW w:w="1028" w:type="dxa"/>
            <w:tcBorders>
              <w:top w:val="nil"/>
            </w:tcBorders>
          </w:tcPr>
          <w:p w14:paraId="0D85221C" w14:textId="203E67DD" w:rsidR="000A7BF0" w:rsidRPr="007D7F8D" w:rsidRDefault="000A7BF0" w:rsidP="000A7BF0">
            <w:pPr>
              <w:pStyle w:val="TableCaption"/>
              <w:spacing w:before="0"/>
            </w:pPr>
            <w:r w:rsidRPr="007D7F8D">
              <w:rPr>
                <w:rFonts w:ascii="Cambria Math" w:hAnsi="Cambria Math" w:cs="Cambria Math"/>
                <w:lang w:val="en-GB"/>
              </w:rPr>
              <w:t>𝜎</w:t>
            </w:r>
            <w:r w:rsidRPr="007D7F8D">
              <w:rPr>
                <w:vertAlign w:val="subscript"/>
                <w:lang w:val="en-GB"/>
              </w:rPr>
              <w:t>-1</w:t>
            </w:r>
            <w:r w:rsidRPr="007D7F8D">
              <w:rPr>
                <w:i/>
                <w:iCs/>
                <w:vertAlign w:val="subscript"/>
                <w:lang w:val="en-GB"/>
              </w:rPr>
              <w:t>r</w:t>
            </w:r>
          </w:p>
        </w:tc>
        <w:tc>
          <w:tcPr>
            <w:tcW w:w="7776" w:type="dxa"/>
            <w:tcBorders>
              <w:top w:val="nil"/>
            </w:tcBorders>
            <w:vAlign w:val="center"/>
          </w:tcPr>
          <w:p w14:paraId="477A4292" w14:textId="07B5EA49" w:rsidR="000A7BF0" w:rsidRPr="007D7F8D" w:rsidRDefault="000A7BF0" w:rsidP="000A7BF0">
            <w:pPr>
              <w:pStyle w:val="TableCaption"/>
              <w:spacing w:before="0"/>
              <w:jc w:val="left"/>
            </w:pPr>
            <w:r w:rsidRPr="007D7F8D">
              <w:rPr>
                <w:lang w:val="en-GB"/>
              </w:rPr>
              <w:t xml:space="preserve">The endurance limit of the standard sample in the symmetrical tension-compression cycle (the use of the empirical dependence </w:t>
            </w:r>
            <w:r w:rsidRPr="007D7F8D">
              <w:rPr>
                <w:i/>
                <w:iCs/>
                <w:lang w:val="en-GB"/>
              </w:rPr>
              <w:t>σ</w:t>
            </w:r>
            <w:r w:rsidRPr="007D7F8D">
              <w:rPr>
                <w:i/>
                <w:iCs/>
                <w:vertAlign w:val="subscript"/>
                <w:lang w:val="en-GB"/>
              </w:rPr>
              <w:t>-</w:t>
            </w:r>
            <w:r w:rsidRPr="007D7F8D">
              <w:rPr>
                <w:vertAlign w:val="subscript"/>
                <w:lang w:val="en-GB"/>
              </w:rPr>
              <w:t>1</w:t>
            </w:r>
            <w:r w:rsidRPr="007D7F8D">
              <w:rPr>
                <w:i/>
                <w:iCs/>
                <w:vertAlign w:val="subscript"/>
                <w:lang w:val="en-GB"/>
              </w:rPr>
              <w:t>r</w:t>
            </w:r>
            <w:r w:rsidRPr="007D7F8D">
              <w:rPr>
                <w:lang w:val="en-GB"/>
              </w:rPr>
              <w:t xml:space="preserve"> = 0.7σ</w:t>
            </w:r>
            <w:r w:rsidRPr="007D7F8D">
              <w:rPr>
                <w:vertAlign w:val="subscript"/>
                <w:lang w:val="en-GB"/>
              </w:rPr>
              <w:t>-1</w:t>
            </w:r>
            <w:r w:rsidRPr="007D7F8D">
              <w:rPr>
                <w:lang w:val="en-GB"/>
              </w:rPr>
              <w:t xml:space="preserve"> is permitted), MPa</w:t>
            </w:r>
          </w:p>
        </w:tc>
        <w:tc>
          <w:tcPr>
            <w:tcW w:w="885" w:type="dxa"/>
            <w:tcBorders>
              <w:top w:val="nil"/>
            </w:tcBorders>
            <w:vAlign w:val="bottom"/>
          </w:tcPr>
          <w:p w14:paraId="1A354364" w14:textId="6914DA0C" w:rsidR="000A7BF0" w:rsidRPr="007D7F8D" w:rsidRDefault="000A7BF0" w:rsidP="000A7BF0">
            <w:pPr>
              <w:pStyle w:val="TableCaption"/>
              <w:spacing w:before="0"/>
              <w:rPr>
                <w:lang w:val="en-GB"/>
              </w:rPr>
            </w:pPr>
            <w:r w:rsidRPr="007D7F8D">
              <w:rPr>
                <w:lang w:val="en-GB"/>
              </w:rPr>
              <w:t>147</w:t>
            </w:r>
          </w:p>
        </w:tc>
      </w:tr>
      <w:tr w:rsidR="000A7BF0" w:rsidRPr="007D7F8D" w14:paraId="04FEDE9E" w14:textId="08671E56" w:rsidTr="00B40809">
        <w:trPr>
          <w:cantSplit/>
          <w:trHeight w:val="52"/>
          <w:jc w:val="center"/>
        </w:trPr>
        <w:tc>
          <w:tcPr>
            <w:tcW w:w="1028" w:type="dxa"/>
            <w:tcBorders>
              <w:top w:val="nil"/>
            </w:tcBorders>
          </w:tcPr>
          <w:p w14:paraId="3D6235F2" w14:textId="2C4B1718" w:rsidR="000A7BF0" w:rsidRPr="007D7F8D" w:rsidRDefault="000A7BF0" w:rsidP="000A7BF0">
            <w:pPr>
              <w:pStyle w:val="TableCaption"/>
              <w:spacing w:before="0"/>
            </w:pPr>
            <w:r w:rsidRPr="007D7F8D">
              <w:rPr>
                <w:rFonts w:ascii="Cambria Math" w:hAnsi="Cambria Math" w:cs="Cambria Math"/>
                <w:lang w:val="en-GB"/>
              </w:rPr>
              <w:t>𝜎</w:t>
            </w:r>
            <w:r w:rsidRPr="007D7F8D">
              <w:rPr>
                <w:vertAlign w:val="subscript"/>
                <w:lang w:val="en-GB"/>
              </w:rPr>
              <w:t>-1</w:t>
            </w:r>
          </w:p>
        </w:tc>
        <w:tc>
          <w:tcPr>
            <w:tcW w:w="7776" w:type="dxa"/>
            <w:tcBorders>
              <w:top w:val="nil"/>
            </w:tcBorders>
            <w:vAlign w:val="center"/>
          </w:tcPr>
          <w:p w14:paraId="7BBC61BF" w14:textId="40AA1C1D" w:rsidR="000A7BF0" w:rsidRPr="007D7F8D" w:rsidRDefault="000A7BF0" w:rsidP="000A7BF0">
            <w:pPr>
              <w:pStyle w:val="TableCaption"/>
              <w:spacing w:before="0"/>
              <w:jc w:val="left"/>
            </w:pPr>
            <w:r w:rsidRPr="007D7F8D">
              <w:rPr>
                <w:lang w:val="en-GB"/>
              </w:rPr>
              <w:t>Endurance limit of a standard sample in a bending symmetrical load cycle, MPa</w:t>
            </w:r>
          </w:p>
        </w:tc>
        <w:tc>
          <w:tcPr>
            <w:tcW w:w="885" w:type="dxa"/>
            <w:tcBorders>
              <w:top w:val="nil"/>
            </w:tcBorders>
            <w:vAlign w:val="bottom"/>
          </w:tcPr>
          <w:p w14:paraId="770375E5" w14:textId="5FFDDD5E" w:rsidR="000A7BF0" w:rsidRPr="007D7F8D" w:rsidRDefault="000A7BF0" w:rsidP="000A7BF0">
            <w:pPr>
              <w:pStyle w:val="TableCaption"/>
              <w:spacing w:before="0"/>
              <w:rPr>
                <w:lang w:val="en-GB"/>
              </w:rPr>
            </w:pPr>
            <w:r w:rsidRPr="007D7F8D">
              <w:rPr>
                <w:lang w:val="en-GB"/>
              </w:rPr>
              <w:t>210</w:t>
            </w:r>
          </w:p>
        </w:tc>
      </w:tr>
      <w:tr w:rsidR="000A7BF0" w:rsidRPr="007D7F8D" w14:paraId="258BCBCF" w14:textId="5ACEDC48" w:rsidTr="00B40809">
        <w:trPr>
          <w:cantSplit/>
          <w:trHeight w:val="52"/>
          <w:jc w:val="center"/>
        </w:trPr>
        <w:tc>
          <w:tcPr>
            <w:tcW w:w="1028" w:type="dxa"/>
            <w:tcBorders>
              <w:top w:val="nil"/>
            </w:tcBorders>
          </w:tcPr>
          <w:p w14:paraId="40AEFB30" w14:textId="6DAAF27B" w:rsidR="000A7BF0" w:rsidRPr="007D7F8D" w:rsidRDefault="000A7BF0" w:rsidP="000A7BF0">
            <w:pPr>
              <w:pStyle w:val="TableCaption"/>
              <w:spacing w:before="0"/>
            </w:pPr>
            <w:r w:rsidRPr="007D7F8D">
              <w:rPr>
                <w:i/>
                <w:iCs/>
                <w:lang w:val="en-GB"/>
              </w:rPr>
              <w:t>ψ</w:t>
            </w:r>
            <w:r w:rsidRPr="007D7F8D">
              <w:rPr>
                <w:rFonts w:ascii="Cambria Math" w:hAnsi="Cambria Math" w:cs="Cambria Math"/>
                <w:vertAlign w:val="subscript"/>
                <w:lang w:val="en-GB"/>
              </w:rPr>
              <w:t>𝜎</w:t>
            </w:r>
          </w:p>
        </w:tc>
        <w:tc>
          <w:tcPr>
            <w:tcW w:w="7776" w:type="dxa"/>
            <w:tcBorders>
              <w:top w:val="nil"/>
            </w:tcBorders>
            <w:vAlign w:val="center"/>
          </w:tcPr>
          <w:p w14:paraId="13E7253A" w14:textId="78DF071D" w:rsidR="000A7BF0" w:rsidRPr="007D7F8D" w:rsidRDefault="000A7BF0" w:rsidP="000A7BF0">
            <w:pPr>
              <w:pStyle w:val="TableCaption"/>
              <w:spacing w:before="0"/>
              <w:jc w:val="left"/>
            </w:pPr>
            <w:r w:rsidRPr="007D7F8D">
              <w:rPr>
                <w:lang w:val="en-GB"/>
              </w:rPr>
              <w:t>Coefficient characterizing the effect of cycle asymmetry</w:t>
            </w:r>
          </w:p>
        </w:tc>
        <w:tc>
          <w:tcPr>
            <w:tcW w:w="885" w:type="dxa"/>
            <w:tcBorders>
              <w:top w:val="nil"/>
            </w:tcBorders>
            <w:vAlign w:val="bottom"/>
          </w:tcPr>
          <w:p w14:paraId="4CE5AD5E" w14:textId="1F20CE16" w:rsidR="000A7BF0" w:rsidRPr="007D7F8D" w:rsidRDefault="000A7BF0" w:rsidP="000A7BF0">
            <w:pPr>
              <w:pStyle w:val="TableCaption"/>
              <w:spacing w:before="0"/>
              <w:rPr>
                <w:lang w:val="en-GB"/>
              </w:rPr>
            </w:pPr>
            <w:r w:rsidRPr="007D7F8D">
              <w:rPr>
                <w:lang w:val="en-GB"/>
              </w:rPr>
              <w:t>0,3</w:t>
            </w:r>
          </w:p>
        </w:tc>
      </w:tr>
      <w:tr w:rsidR="000A7BF0" w:rsidRPr="007D7F8D" w14:paraId="36610D0D" w14:textId="2238C89D" w:rsidTr="00B40809">
        <w:trPr>
          <w:cantSplit/>
          <w:trHeight w:val="52"/>
          <w:jc w:val="center"/>
        </w:trPr>
        <w:tc>
          <w:tcPr>
            <w:tcW w:w="1028" w:type="dxa"/>
            <w:tcBorders>
              <w:top w:val="nil"/>
            </w:tcBorders>
          </w:tcPr>
          <w:p w14:paraId="7F167E57" w14:textId="2C551A9C" w:rsidR="000A7BF0" w:rsidRPr="007D7F8D" w:rsidRDefault="000A7BF0" w:rsidP="000A7BF0">
            <w:pPr>
              <w:pStyle w:val="TableCaption"/>
              <w:spacing w:before="0"/>
            </w:pPr>
            <w:r w:rsidRPr="007D7F8D">
              <w:rPr>
                <w:i/>
                <w:iCs/>
                <w:lang w:val="en-GB"/>
              </w:rPr>
              <w:t>α</w:t>
            </w:r>
            <w:r w:rsidRPr="007D7F8D">
              <w:rPr>
                <w:rFonts w:ascii="Cambria Math" w:hAnsi="Cambria Math" w:cs="Cambria Math"/>
                <w:vertAlign w:val="subscript"/>
                <w:lang w:val="en-GB"/>
              </w:rPr>
              <w:t>𝜎</w:t>
            </w:r>
          </w:p>
        </w:tc>
        <w:tc>
          <w:tcPr>
            <w:tcW w:w="7776" w:type="dxa"/>
            <w:tcBorders>
              <w:top w:val="nil"/>
            </w:tcBorders>
            <w:vAlign w:val="center"/>
          </w:tcPr>
          <w:p w14:paraId="1CF9CE03" w14:textId="5EF4C5C3" w:rsidR="000A7BF0" w:rsidRPr="007D7F8D" w:rsidRDefault="000A7BF0" w:rsidP="000A7BF0">
            <w:pPr>
              <w:pStyle w:val="TableCaption"/>
              <w:spacing w:before="0"/>
              <w:jc w:val="left"/>
            </w:pPr>
            <w:r w:rsidRPr="007D7F8D">
              <w:rPr>
                <w:lang w:val="en-GB"/>
              </w:rPr>
              <w:t>Theoretical coefficient of stress concentration (for concentration zones at the boundaries of welded joints)</w:t>
            </w:r>
          </w:p>
        </w:tc>
        <w:tc>
          <w:tcPr>
            <w:tcW w:w="885" w:type="dxa"/>
            <w:tcBorders>
              <w:top w:val="nil"/>
            </w:tcBorders>
            <w:vAlign w:val="bottom"/>
          </w:tcPr>
          <w:p w14:paraId="7775043A" w14:textId="6F53BDC0" w:rsidR="000A7BF0" w:rsidRPr="007D7F8D" w:rsidRDefault="000A7BF0" w:rsidP="000A7BF0">
            <w:pPr>
              <w:pStyle w:val="TableCaption"/>
              <w:spacing w:before="0"/>
              <w:rPr>
                <w:lang w:val="en-GB"/>
              </w:rPr>
            </w:pPr>
            <w:r w:rsidRPr="007D7F8D">
              <w:rPr>
                <w:lang w:val="en-GB"/>
              </w:rPr>
              <w:t>1,4</w:t>
            </w:r>
          </w:p>
        </w:tc>
      </w:tr>
      <w:tr w:rsidR="000A7BF0" w:rsidRPr="007D7F8D" w14:paraId="787B5F0A" w14:textId="5F301310" w:rsidTr="00B40809">
        <w:trPr>
          <w:cantSplit/>
          <w:trHeight w:val="60"/>
          <w:jc w:val="center"/>
        </w:trPr>
        <w:tc>
          <w:tcPr>
            <w:tcW w:w="1028" w:type="dxa"/>
          </w:tcPr>
          <w:p w14:paraId="443E7BE5" w14:textId="6AE17897" w:rsidR="000A7BF0" w:rsidRPr="007D7F8D" w:rsidRDefault="000A7BF0" w:rsidP="000A7BF0">
            <w:pPr>
              <w:pStyle w:val="TableCaption"/>
              <w:spacing w:before="0"/>
            </w:pPr>
            <w:r w:rsidRPr="007D7F8D">
              <w:rPr>
                <w:i/>
                <w:iCs/>
                <w:lang w:val="en-GB"/>
              </w:rPr>
              <w:t>K</w:t>
            </w:r>
            <w:r w:rsidRPr="007D7F8D">
              <w:rPr>
                <w:vertAlign w:val="subscript"/>
                <w:lang w:val="en-GB"/>
              </w:rPr>
              <w:t>1</w:t>
            </w:r>
          </w:p>
        </w:tc>
        <w:tc>
          <w:tcPr>
            <w:tcW w:w="7776" w:type="dxa"/>
            <w:vAlign w:val="center"/>
          </w:tcPr>
          <w:p w14:paraId="2C23E7AB" w14:textId="266C69E4" w:rsidR="000A7BF0" w:rsidRPr="007D7F8D" w:rsidRDefault="000A7BF0" w:rsidP="000A7BF0">
            <w:pPr>
              <w:pStyle w:val="TableCaption"/>
              <w:spacing w:before="0"/>
              <w:jc w:val="left"/>
            </w:pPr>
            <w:r w:rsidRPr="007D7F8D">
              <w:rPr>
                <w:lang w:val="en-GB"/>
              </w:rPr>
              <w:t>Coefficient accounting for material heterogeneity (for rolled steel)</w:t>
            </w:r>
          </w:p>
        </w:tc>
        <w:tc>
          <w:tcPr>
            <w:tcW w:w="885" w:type="dxa"/>
            <w:vAlign w:val="bottom"/>
          </w:tcPr>
          <w:p w14:paraId="52583F87" w14:textId="282722B3" w:rsidR="000A7BF0" w:rsidRPr="007D7F8D" w:rsidRDefault="000A7BF0" w:rsidP="000A7BF0">
            <w:pPr>
              <w:pStyle w:val="TableCaption"/>
              <w:spacing w:before="0"/>
              <w:rPr>
                <w:lang w:val="en-GB"/>
              </w:rPr>
            </w:pPr>
            <w:r w:rsidRPr="007D7F8D">
              <w:rPr>
                <w:lang w:val="en-GB"/>
              </w:rPr>
              <w:t>1,1</w:t>
            </w:r>
          </w:p>
        </w:tc>
      </w:tr>
      <w:tr w:rsidR="000A7BF0" w:rsidRPr="007D7F8D" w14:paraId="23EBBED5" w14:textId="77777777" w:rsidTr="00B40809">
        <w:trPr>
          <w:cantSplit/>
          <w:trHeight w:val="60"/>
          <w:jc w:val="center"/>
        </w:trPr>
        <w:tc>
          <w:tcPr>
            <w:tcW w:w="1028" w:type="dxa"/>
          </w:tcPr>
          <w:p w14:paraId="6712971F" w14:textId="006B02D3" w:rsidR="000A7BF0" w:rsidRPr="007D7F8D" w:rsidRDefault="000A7BF0" w:rsidP="000A7BF0">
            <w:pPr>
              <w:pStyle w:val="TableCaption"/>
              <w:spacing w:before="0"/>
              <w:rPr>
                <w:lang w:val="en-GB"/>
              </w:rPr>
            </w:pPr>
            <w:r w:rsidRPr="007D7F8D">
              <w:rPr>
                <w:i/>
                <w:iCs/>
                <w:lang w:val="en-GB"/>
              </w:rPr>
              <w:t>K</w:t>
            </w:r>
            <w:r w:rsidRPr="007D7F8D">
              <w:rPr>
                <w:vertAlign w:val="subscript"/>
                <w:lang w:val="en-GB"/>
              </w:rPr>
              <w:t>2</w:t>
            </w:r>
          </w:p>
        </w:tc>
        <w:tc>
          <w:tcPr>
            <w:tcW w:w="7776" w:type="dxa"/>
            <w:vAlign w:val="center"/>
          </w:tcPr>
          <w:p w14:paraId="4F3C6DCF" w14:textId="24580B4E" w:rsidR="000A7BF0" w:rsidRPr="007D7F8D" w:rsidRDefault="000A7BF0" w:rsidP="000A7BF0">
            <w:pPr>
              <w:pStyle w:val="TableCaption"/>
              <w:spacing w:before="0"/>
              <w:jc w:val="left"/>
              <w:rPr>
                <w:lang w:val="en-GB"/>
              </w:rPr>
            </w:pPr>
            <w:r w:rsidRPr="007D7F8D">
              <w:rPr>
                <w:lang w:val="en-GB"/>
              </w:rPr>
              <w:t>Coefficient that takes into account the effect of internal stresses based on the maximum cross-sectional dimension of the part (ranging from 1.0 to 1.2 proportionally for dimensions from 250 mm to 1000 mm)</w:t>
            </w:r>
          </w:p>
        </w:tc>
        <w:tc>
          <w:tcPr>
            <w:tcW w:w="885" w:type="dxa"/>
            <w:vAlign w:val="bottom"/>
          </w:tcPr>
          <w:p w14:paraId="5C4D7E1B" w14:textId="60B68115" w:rsidR="000A7BF0" w:rsidRPr="007D7F8D" w:rsidRDefault="000A7BF0" w:rsidP="000A7BF0">
            <w:pPr>
              <w:pStyle w:val="TableCaption"/>
              <w:spacing w:before="0"/>
              <w:rPr>
                <w:lang w:val="en-GB"/>
              </w:rPr>
            </w:pPr>
            <w:r w:rsidRPr="007D7F8D">
              <w:rPr>
                <w:lang w:val="en-GB"/>
              </w:rPr>
              <w:t>1,152</w:t>
            </w:r>
          </w:p>
        </w:tc>
      </w:tr>
      <w:tr w:rsidR="000A7BF0" w:rsidRPr="007D7F8D" w14:paraId="3E6299AF" w14:textId="77777777" w:rsidTr="00B40809">
        <w:trPr>
          <w:cantSplit/>
          <w:trHeight w:val="60"/>
          <w:jc w:val="center"/>
        </w:trPr>
        <w:tc>
          <w:tcPr>
            <w:tcW w:w="1028" w:type="dxa"/>
          </w:tcPr>
          <w:p w14:paraId="2604AFDF" w14:textId="5482EE7D" w:rsidR="000A7BF0" w:rsidRPr="007D7F8D" w:rsidRDefault="000A7BF0" w:rsidP="000A7BF0">
            <w:pPr>
              <w:pStyle w:val="TableCaption"/>
              <w:spacing w:before="0"/>
              <w:rPr>
                <w:lang w:val="en-GB"/>
              </w:rPr>
            </w:pPr>
            <w:r w:rsidRPr="007D7F8D">
              <w:rPr>
                <w:i/>
                <w:iCs/>
                <w:lang w:val="en-GB"/>
              </w:rPr>
              <w:t>K</w:t>
            </w:r>
            <w:r w:rsidRPr="007D7F8D">
              <w:rPr>
                <w:i/>
                <w:iCs/>
                <w:vertAlign w:val="subscript"/>
                <w:lang w:val="en-GB"/>
              </w:rPr>
              <w:t>m</w:t>
            </w:r>
          </w:p>
        </w:tc>
        <w:tc>
          <w:tcPr>
            <w:tcW w:w="7776" w:type="dxa"/>
            <w:vAlign w:val="center"/>
          </w:tcPr>
          <w:p w14:paraId="1CDBC439" w14:textId="3E040A20" w:rsidR="000A7BF0" w:rsidRPr="007D7F8D" w:rsidRDefault="000A7BF0" w:rsidP="000A7BF0">
            <w:pPr>
              <w:pStyle w:val="TableCaption"/>
              <w:spacing w:before="0"/>
              <w:jc w:val="left"/>
              <w:rPr>
                <w:lang w:val="en-GB"/>
              </w:rPr>
            </w:pPr>
            <w:r w:rsidRPr="007D7F8D">
              <w:rPr>
                <w:lang w:val="en-GB"/>
              </w:rPr>
              <w:t>Coefficient adopted based on the surface treatment method for the part (for surfaces initially processed on the machine)</w:t>
            </w:r>
          </w:p>
        </w:tc>
        <w:tc>
          <w:tcPr>
            <w:tcW w:w="885" w:type="dxa"/>
            <w:vAlign w:val="bottom"/>
          </w:tcPr>
          <w:p w14:paraId="360379C0" w14:textId="3C0549DD" w:rsidR="000A7BF0" w:rsidRPr="007D7F8D" w:rsidRDefault="000A7BF0" w:rsidP="000A7BF0">
            <w:pPr>
              <w:pStyle w:val="TableCaption"/>
              <w:spacing w:before="0"/>
              <w:rPr>
                <w:lang w:val="en-GB"/>
              </w:rPr>
            </w:pPr>
            <w:r w:rsidRPr="007D7F8D">
              <w:rPr>
                <w:lang w:val="en-GB"/>
              </w:rPr>
              <w:t>0,8</w:t>
            </w:r>
          </w:p>
        </w:tc>
      </w:tr>
      <w:tr w:rsidR="000A7BF0" w:rsidRPr="007D7F8D" w14:paraId="01B19412" w14:textId="77777777" w:rsidTr="00B40809">
        <w:trPr>
          <w:cantSplit/>
          <w:trHeight w:val="60"/>
          <w:jc w:val="center"/>
        </w:trPr>
        <w:tc>
          <w:tcPr>
            <w:tcW w:w="1028" w:type="dxa"/>
          </w:tcPr>
          <w:p w14:paraId="67AEADBB" w14:textId="31EF6DC4" w:rsidR="000A7BF0" w:rsidRPr="007D7F8D" w:rsidRDefault="000A7BF0" w:rsidP="000A7BF0">
            <w:pPr>
              <w:pStyle w:val="TableCaption"/>
              <w:spacing w:before="0"/>
              <w:rPr>
                <w:lang w:val="en-GB"/>
              </w:rPr>
            </w:pPr>
            <w:r w:rsidRPr="007D7F8D">
              <w:rPr>
                <w:i/>
                <w:iCs/>
                <w:lang w:val="en-GB"/>
              </w:rPr>
              <w:t>γ</w:t>
            </w:r>
          </w:p>
        </w:tc>
        <w:tc>
          <w:tcPr>
            <w:tcW w:w="7776" w:type="dxa"/>
            <w:vAlign w:val="center"/>
          </w:tcPr>
          <w:p w14:paraId="334BD300" w14:textId="4952C0CF" w:rsidR="000A7BF0" w:rsidRPr="007D7F8D" w:rsidRDefault="000A7BF0" w:rsidP="000A7BF0">
            <w:pPr>
              <w:pStyle w:val="TableCaption"/>
              <w:spacing w:before="0"/>
              <w:jc w:val="left"/>
              <w:rPr>
                <w:lang w:val="en-GB"/>
              </w:rPr>
            </w:pPr>
            <w:r w:rsidRPr="007D7F8D">
              <w:rPr>
                <w:lang w:val="en-GB"/>
              </w:rPr>
              <w:t>Coefficient selected based on the maximum cross-sectional dimension h of the part and accounting for the influence of the size factor (for dimensions above 250 mm)</w:t>
            </w:r>
          </w:p>
        </w:tc>
        <w:tc>
          <w:tcPr>
            <w:tcW w:w="885" w:type="dxa"/>
            <w:vAlign w:val="bottom"/>
          </w:tcPr>
          <w:p w14:paraId="7EEA6855" w14:textId="06BB9F6B" w:rsidR="000A7BF0" w:rsidRPr="007D7F8D" w:rsidRDefault="000A7BF0" w:rsidP="000A7BF0">
            <w:pPr>
              <w:pStyle w:val="TableCaption"/>
              <w:spacing w:before="0"/>
              <w:rPr>
                <w:lang w:val="en-GB"/>
              </w:rPr>
            </w:pPr>
            <w:r w:rsidRPr="007D7F8D">
              <w:rPr>
                <w:lang w:val="en-GB"/>
              </w:rPr>
              <w:t>0,7</w:t>
            </w:r>
          </w:p>
        </w:tc>
      </w:tr>
      <w:tr w:rsidR="000A7BF0" w:rsidRPr="007D7F8D" w14:paraId="48547224" w14:textId="77777777" w:rsidTr="00B40809">
        <w:trPr>
          <w:cantSplit/>
          <w:trHeight w:val="60"/>
          <w:jc w:val="center"/>
        </w:trPr>
        <w:tc>
          <w:tcPr>
            <w:tcW w:w="1028" w:type="dxa"/>
          </w:tcPr>
          <w:p w14:paraId="148A2E83" w14:textId="66DF73A8" w:rsidR="000A7BF0" w:rsidRPr="007D7F8D" w:rsidRDefault="000A7BF0" w:rsidP="000A7BF0">
            <w:pPr>
              <w:pStyle w:val="TableCaption"/>
              <w:spacing w:before="0"/>
              <w:rPr>
                <w:lang w:val="en-GB"/>
              </w:rPr>
            </w:pPr>
            <w:r w:rsidRPr="007D7F8D">
              <w:rPr>
                <w:i/>
                <w:iCs/>
                <w:lang w:val="en-GB"/>
              </w:rPr>
              <w:t>K</w:t>
            </w:r>
            <w:r w:rsidRPr="007D7F8D">
              <w:rPr>
                <w:vertAlign w:val="subscript"/>
                <w:lang w:val="en-GB"/>
              </w:rPr>
              <w:t>3</w:t>
            </w:r>
          </w:p>
        </w:tc>
        <w:tc>
          <w:tcPr>
            <w:tcW w:w="7776" w:type="dxa"/>
            <w:vAlign w:val="center"/>
          </w:tcPr>
          <w:p w14:paraId="1427255F" w14:textId="2564DF2E" w:rsidR="000A7BF0" w:rsidRPr="007D7F8D" w:rsidRDefault="000A7BF0" w:rsidP="000A7BF0">
            <w:pPr>
              <w:pStyle w:val="TableCaption"/>
              <w:spacing w:before="0"/>
              <w:jc w:val="left"/>
              <w:rPr>
                <w:lang w:val="en-GB"/>
              </w:rPr>
            </w:pPr>
            <w:r w:rsidRPr="007D7F8D">
              <w:rPr>
                <w:lang w:val="en-GB"/>
              </w:rPr>
              <w:t>Correction coefficient applied in welded load-bearing structures for low-alloy rolled steel of grade 09G2, according to GOST 19281</w:t>
            </w:r>
          </w:p>
        </w:tc>
        <w:tc>
          <w:tcPr>
            <w:tcW w:w="885" w:type="dxa"/>
            <w:vAlign w:val="bottom"/>
          </w:tcPr>
          <w:p w14:paraId="3CD16675" w14:textId="29D2B7D0" w:rsidR="000A7BF0" w:rsidRPr="007D7F8D" w:rsidRDefault="000A7BF0" w:rsidP="000A7BF0">
            <w:pPr>
              <w:pStyle w:val="TableCaption"/>
              <w:spacing w:before="0"/>
              <w:rPr>
                <w:lang w:val="en-GB"/>
              </w:rPr>
            </w:pPr>
            <w:r w:rsidRPr="007D7F8D">
              <w:rPr>
                <w:lang w:val="en-GB"/>
              </w:rPr>
              <w:t>1,2</w:t>
            </w:r>
          </w:p>
        </w:tc>
      </w:tr>
      <w:tr w:rsidR="000A7BF0" w:rsidRPr="007D7F8D" w14:paraId="3C8B9F66" w14:textId="77777777" w:rsidTr="00B40809">
        <w:trPr>
          <w:cantSplit/>
          <w:trHeight w:val="60"/>
          <w:jc w:val="center"/>
        </w:trPr>
        <w:tc>
          <w:tcPr>
            <w:tcW w:w="1028" w:type="dxa"/>
          </w:tcPr>
          <w:p w14:paraId="6AABAE89" w14:textId="13E260B6" w:rsidR="000A7BF0" w:rsidRPr="007D7F8D" w:rsidRDefault="000A7BF0" w:rsidP="000A7BF0">
            <w:pPr>
              <w:pStyle w:val="TableCaption"/>
              <w:spacing w:before="0"/>
              <w:rPr>
                <w:lang w:val="en-GB"/>
              </w:rPr>
            </w:pPr>
            <w:r w:rsidRPr="007D7F8D">
              <w:rPr>
                <w:i/>
                <w:iCs/>
                <w:lang w:val="en-GB"/>
              </w:rPr>
              <w:t>K</w:t>
            </w:r>
            <w:r w:rsidRPr="007D7F8D">
              <w:rPr>
                <w:rFonts w:ascii="Cambria Math" w:hAnsi="Cambria Math" w:cs="Cambria Math"/>
                <w:vertAlign w:val="subscript"/>
                <w:lang w:val="en-GB"/>
              </w:rPr>
              <w:t>𝜎</w:t>
            </w:r>
          </w:p>
        </w:tc>
        <w:tc>
          <w:tcPr>
            <w:tcW w:w="7776" w:type="dxa"/>
            <w:vAlign w:val="center"/>
          </w:tcPr>
          <w:p w14:paraId="5753A758" w14:textId="6EA4D7CB" w:rsidR="000A7BF0" w:rsidRPr="007D7F8D" w:rsidRDefault="000A7BF0" w:rsidP="000A7BF0">
            <w:pPr>
              <w:pStyle w:val="TableCaption"/>
              <w:spacing w:before="0"/>
              <w:jc w:val="left"/>
              <w:rPr>
                <w:lang w:val="en-GB"/>
              </w:rPr>
            </w:pPr>
            <w:r w:rsidRPr="007D7F8D">
              <w:rPr>
                <w:lang w:val="en-GB"/>
              </w:rPr>
              <w:t>The stress concentration factor is a coefficient that quantifies the decrease in fatigue strength of an actual structure relative to the fatigue limit of a standard test specimen</w:t>
            </w:r>
          </w:p>
        </w:tc>
        <w:tc>
          <w:tcPr>
            <w:tcW w:w="885" w:type="dxa"/>
            <w:vAlign w:val="bottom"/>
          </w:tcPr>
          <w:p w14:paraId="3F47B230" w14:textId="44F770FF" w:rsidR="000A7BF0" w:rsidRPr="007D7F8D" w:rsidRDefault="000A7BF0" w:rsidP="000A7BF0">
            <w:pPr>
              <w:pStyle w:val="TableCaption"/>
              <w:spacing w:before="0"/>
              <w:rPr>
                <w:lang w:val="en-GB"/>
              </w:rPr>
            </w:pPr>
            <w:r w:rsidRPr="007D7F8D">
              <w:rPr>
                <w:lang w:val="en-GB"/>
              </w:rPr>
              <w:t>2,715</w:t>
            </w:r>
          </w:p>
        </w:tc>
      </w:tr>
      <w:tr w:rsidR="000A7BF0" w:rsidRPr="007D7F8D" w14:paraId="7261085F" w14:textId="77777777" w:rsidTr="00B40809">
        <w:trPr>
          <w:cantSplit/>
          <w:trHeight w:val="60"/>
          <w:jc w:val="center"/>
        </w:trPr>
        <w:tc>
          <w:tcPr>
            <w:tcW w:w="1028" w:type="dxa"/>
          </w:tcPr>
          <w:p w14:paraId="37536F2E" w14:textId="63B6AFFD" w:rsidR="000A7BF0" w:rsidRPr="007D7F8D" w:rsidRDefault="000A7BF0" w:rsidP="000A7BF0">
            <w:pPr>
              <w:pStyle w:val="TableCaption"/>
              <w:spacing w:before="0"/>
              <w:rPr>
                <w:lang w:val="en-GB"/>
              </w:rPr>
            </w:pPr>
            <w:proofErr w:type="spellStart"/>
            <w:r w:rsidRPr="007D7F8D">
              <w:rPr>
                <w:i/>
                <w:iCs/>
                <w:lang w:val="en-GB"/>
              </w:rPr>
              <w:t>f</w:t>
            </w:r>
            <w:r w:rsidRPr="007D7F8D">
              <w:rPr>
                <w:i/>
                <w:iCs/>
                <w:vertAlign w:val="subscript"/>
                <w:lang w:val="en-GB"/>
              </w:rPr>
              <w:t>st</w:t>
            </w:r>
            <w:proofErr w:type="spellEnd"/>
          </w:p>
        </w:tc>
        <w:tc>
          <w:tcPr>
            <w:tcW w:w="7776" w:type="dxa"/>
            <w:vAlign w:val="center"/>
          </w:tcPr>
          <w:p w14:paraId="16DD08C9" w14:textId="3DD4140F" w:rsidR="000A7BF0" w:rsidRPr="007D7F8D" w:rsidRDefault="000A7BF0" w:rsidP="000A7BF0">
            <w:pPr>
              <w:pStyle w:val="TableCaption"/>
              <w:spacing w:before="0"/>
              <w:jc w:val="left"/>
              <w:rPr>
                <w:lang w:val="en-GB"/>
              </w:rPr>
            </w:pPr>
            <w:r w:rsidRPr="007D7F8D">
              <w:rPr>
                <w:lang w:val="en-GB"/>
              </w:rPr>
              <w:t>Overall static deflection of the spring suspension</w:t>
            </w:r>
            <w:r w:rsidR="00E7087B">
              <w:rPr>
                <w:lang w:val="en-GB"/>
              </w:rPr>
              <w:t>, m</w:t>
            </w:r>
          </w:p>
        </w:tc>
        <w:tc>
          <w:tcPr>
            <w:tcW w:w="885" w:type="dxa"/>
            <w:vAlign w:val="bottom"/>
          </w:tcPr>
          <w:p w14:paraId="38A6CF07" w14:textId="388326B1" w:rsidR="000A7BF0" w:rsidRPr="007D7F8D" w:rsidRDefault="000A7BF0" w:rsidP="000A7BF0">
            <w:pPr>
              <w:pStyle w:val="TableCaption"/>
              <w:spacing w:before="0"/>
              <w:rPr>
                <w:lang w:val="en-GB"/>
              </w:rPr>
            </w:pPr>
            <w:r w:rsidRPr="007D7F8D">
              <w:rPr>
                <w:lang w:val="en-GB"/>
              </w:rPr>
              <w:t>0,1</w:t>
            </w:r>
          </w:p>
        </w:tc>
      </w:tr>
    </w:tbl>
    <w:p w14:paraId="5BF57168" w14:textId="2702FA7E" w:rsidR="00E9469A" w:rsidRPr="0042530D" w:rsidRDefault="00E9469A" w:rsidP="0077650B">
      <w:pPr>
        <w:pStyle w:val="1"/>
      </w:pPr>
      <w:r w:rsidRPr="0006054D">
        <w:rPr>
          <w:rFonts w:eastAsia="Times"/>
        </w:rPr>
        <w:t>Results and Discussion</w:t>
      </w:r>
    </w:p>
    <w:p w14:paraId="720C7BCB" w14:textId="71CAE545" w:rsidR="00E9469A" w:rsidRPr="0006054D" w:rsidRDefault="00E9469A" w:rsidP="007D7F8D">
      <w:pPr>
        <w:pStyle w:val="Paragraph"/>
        <w:rPr>
          <w:rFonts w:eastAsia="Times"/>
        </w:rPr>
      </w:pPr>
      <w:r w:rsidRPr="0006054D">
        <w:rPr>
          <w:rFonts w:eastAsia="Times"/>
        </w:rPr>
        <w:t>According to the FEA results, the highest stress concentration occurs at the junction of the vertical and upper horizontal plates of two transverse kingpin beams, specifically in the zone of the T-shaped weld. The stress in this concentration zone was 47.845 MPa (Fig</w:t>
      </w:r>
      <w:r w:rsidR="00773148">
        <w:rPr>
          <w:rFonts w:eastAsia="Times"/>
        </w:rPr>
        <w:t>ure</w:t>
      </w:r>
      <w:r w:rsidRPr="0006054D">
        <w:rPr>
          <w:rFonts w:eastAsia="Times"/>
        </w:rPr>
        <w:t xml:space="preserve"> 4). Although this value is lower than both the yield strength of the material and the allowable stress, its location in the weld zone makes it a potentially dangerous area for crack formation after prolonged use from the perspective of multi-cycle fatigue.</w:t>
      </w:r>
    </w:p>
    <w:p w14:paraId="63F612DB" w14:textId="77777777" w:rsidR="00E9469A" w:rsidRPr="0006054D" w:rsidRDefault="00E9469A" w:rsidP="007D7F8D">
      <w:pPr>
        <w:pStyle w:val="Paragraph"/>
        <w:rPr>
          <w:rFonts w:eastAsia="Times"/>
        </w:rPr>
      </w:pPr>
      <w:r w:rsidRPr="0006054D">
        <w:rPr>
          <w:rFonts w:eastAsia="Times"/>
        </w:rPr>
        <w:t>According to the FEA and calculation results, the fatigue safety factor of the main frame was determined to be n = 5.1. The calculation was carried out using formula (3), as the zone of maximum stress concentration operates in the bending cycle. The fact that this value is significantly higher than the permissible value demonstrates the high fatigue strength of the control electric locomotive and substantiates the possibility of its long-term use.</w:t>
      </w:r>
    </w:p>
    <w:p w14:paraId="723E3BFD" w14:textId="77777777" w:rsidR="00E9469A" w:rsidRDefault="00E9469A" w:rsidP="007D7F8D">
      <w:pPr>
        <w:pStyle w:val="Paragraph"/>
        <w:rPr>
          <w:rFonts w:eastAsia="Times"/>
        </w:rPr>
      </w:pPr>
      <w:r w:rsidRPr="0006054D">
        <w:rPr>
          <w:rFonts w:eastAsia="Times"/>
        </w:rPr>
        <w:t>The results of the calculations are shown in Table 4.</w:t>
      </w:r>
    </w:p>
    <w:tbl>
      <w:tblPr>
        <w:tblW w:w="5000" w:type="pct"/>
        <w:jc w:val="center"/>
        <w:tblBorders>
          <w:bottom w:val="single" w:sz="4" w:space="0" w:color="auto"/>
        </w:tblBorders>
        <w:tblLayout w:type="fixed"/>
        <w:tblLook w:val="0000" w:firstRow="0" w:lastRow="0" w:firstColumn="0" w:lastColumn="0" w:noHBand="0" w:noVBand="0"/>
      </w:tblPr>
      <w:tblGrid>
        <w:gridCol w:w="1333"/>
        <w:gridCol w:w="1777"/>
        <w:gridCol w:w="1617"/>
        <w:gridCol w:w="1641"/>
        <w:gridCol w:w="1630"/>
        <w:gridCol w:w="1691"/>
      </w:tblGrid>
      <w:tr w:rsidR="00925005" w:rsidRPr="00083EC4" w14:paraId="1BEA9504" w14:textId="688B524A" w:rsidTr="00251D5C">
        <w:trPr>
          <w:cantSplit/>
          <w:trHeight w:val="60"/>
          <w:jc w:val="center"/>
        </w:trPr>
        <w:tc>
          <w:tcPr>
            <w:tcW w:w="9689" w:type="dxa"/>
            <w:gridSpan w:val="6"/>
            <w:tcBorders>
              <w:bottom w:val="nil"/>
            </w:tcBorders>
            <w:vAlign w:val="center"/>
          </w:tcPr>
          <w:p w14:paraId="43E0C403" w14:textId="771A5E6D" w:rsidR="00925005" w:rsidRPr="00083EC4" w:rsidRDefault="00925005" w:rsidP="00251D5C">
            <w:pPr>
              <w:pStyle w:val="TableCaption"/>
              <w:rPr>
                <w:b/>
              </w:rPr>
            </w:pPr>
            <w:r w:rsidRPr="00083EC4">
              <w:rPr>
                <w:b/>
              </w:rPr>
              <w:t xml:space="preserve">TABLE 4. </w:t>
            </w:r>
            <w:r w:rsidRPr="00083EC4">
              <w:rPr>
                <w:rFonts w:eastAsia="Times"/>
              </w:rPr>
              <w:t>Results of calculations.</w:t>
            </w:r>
          </w:p>
        </w:tc>
      </w:tr>
      <w:tr w:rsidR="00083EC4" w:rsidRPr="00083EC4" w14:paraId="2E6C2B16" w14:textId="20CC8CD8" w:rsidTr="00251D5C">
        <w:trPr>
          <w:cantSplit/>
          <w:trHeight w:val="52"/>
          <w:jc w:val="center"/>
        </w:trPr>
        <w:tc>
          <w:tcPr>
            <w:tcW w:w="1333" w:type="dxa"/>
            <w:tcBorders>
              <w:top w:val="single" w:sz="4" w:space="0" w:color="auto"/>
              <w:bottom w:val="single" w:sz="4" w:space="0" w:color="auto"/>
            </w:tcBorders>
            <w:vAlign w:val="center"/>
          </w:tcPr>
          <w:p w14:paraId="11638A7B" w14:textId="2DE2EB1D" w:rsidR="00083EC4" w:rsidRPr="00083EC4" w:rsidRDefault="00083EC4" w:rsidP="00925005">
            <w:pPr>
              <w:pStyle w:val="TableCaption"/>
              <w:spacing w:before="0"/>
              <w:rPr>
                <w:b/>
                <w:bCs/>
              </w:rPr>
            </w:pPr>
            <w:r w:rsidRPr="00083EC4">
              <w:rPr>
                <w:b/>
                <w:bCs/>
                <w:lang w:val="en-GB"/>
              </w:rPr>
              <w:t xml:space="preserve">Mean stress, </w:t>
            </w:r>
            <w:r w:rsidRPr="00083EC4">
              <w:rPr>
                <w:rFonts w:ascii="Cambria Math" w:hAnsi="Cambria Math" w:cs="Cambria Math"/>
                <w:b/>
                <w:bCs/>
                <w:lang w:val="en-GB"/>
              </w:rPr>
              <w:t>𝜎</w:t>
            </w:r>
            <w:r w:rsidRPr="00083EC4">
              <w:rPr>
                <w:b/>
                <w:bCs/>
                <w:i/>
                <w:iCs/>
                <w:vertAlign w:val="subscript"/>
                <w:lang w:val="en-GB"/>
              </w:rPr>
              <w:t>m</w:t>
            </w:r>
            <w:r w:rsidRPr="00083EC4">
              <w:rPr>
                <w:b/>
                <w:bCs/>
                <w:lang w:val="en-GB"/>
              </w:rPr>
              <w:t xml:space="preserve"> [MPa]</w:t>
            </w:r>
          </w:p>
        </w:tc>
        <w:tc>
          <w:tcPr>
            <w:tcW w:w="1777" w:type="dxa"/>
            <w:tcBorders>
              <w:top w:val="single" w:sz="4" w:space="0" w:color="auto"/>
              <w:bottom w:val="single" w:sz="4" w:space="0" w:color="auto"/>
            </w:tcBorders>
            <w:vAlign w:val="center"/>
          </w:tcPr>
          <w:p w14:paraId="7E099E8B" w14:textId="7562951E" w:rsidR="00083EC4" w:rsidRPr="00083EC4" w:rsidRDefault="00083EC4" w:rsidP="00925005">
            <w:pPr>
              <w:pStyle w:val="TableCaption"/>
              <w:spacing w:before="0"/>
              <w:rPr>
                <w:b/>
                <w:bCs/>
              </w:rPr>
            </w:pPr>
            <w:r w:rsidRPr="00083EC4">
              <w:rPr>
                <w:b/>
                <w:bCs/>
                <w:lang w:val="en-GB"/>
              </w:rPr>
              <w:t xml:space="preserve">Vertical dynamics coefficient, </w:t>
            </w:r>
            <w:r w:rsidRPr="00083EC4">
              <w:rPr>
                <w:b/>
                <w:bCs/>
                <w:i/>
                <w:iCs/>
                <w:lang w:val="en-GB"/>
              </w:rPr>
              <w:t>K</w:t>
            </w:r>
            <w:r w:rsidRPr="00083EC4">
              <w:rPr>
                <w:b/>
                <w:bCs/>
                <w:i/>
                <w:iCs/>
                <w:vertAlign w:val="subscript"/>
                <w:lang w:val="en-GB"/>
              </w:rPr>
              <w:t>D</w:t>
            </w:r>
            <w:r w:rsidRPr="00083EC4">
              <w:rPr>
                <w:b/>
                <w:bCs/>
                <w:lang w:val="en-GB"/>
              </w:rPr>
              <w:t xml:space="preserve"> </w:t>
            </w:r>
          </w:p>
        </w:tc>
        <w:tc>
          <w:tcPr>
            <w:tcW w:w="1617" w:type="dxa"/>
            <w:tcBorders>
              <w:top w:val="single" w:sz="4" w:space="0" w:color="auto"/>
              <w:bottom w:val="single" w:sz="4" w:space="0" w:color="auto"/>
            </w:tcBorders>
            <w:vAlign w:val="center"/>
          </w:tcPr>
          <w:p w14:paraId="3D02EFCB" w14:textId="61FF9B14" w:rsidR="00083EC4" w:rsidRPr="00083EC4" w:rsidRDefault="00083EC4" w:rsidP="00925005">
            <w:pPr>
              <w:pStyle w:val="TableCaption"/>
              <w:spacing w:before="0"/>
              <w:rPr>
                <w:b/>
                <w:bCs/>
              </w:rPr>
            </w:pPr>
            <w:r w:rsidRPr="00083EC4">
              <w:rPr>
                <w:b/>
                <w:bCs/>
                <w:lang w:val="en-GB"/>
              </w:rPr>
              <w:t xml:space="preserve">Maximum stress, </w:t>
            </w:r>
            <w:r w:rsidRPr="00083EC4">
              <w:rPr>
                <w:rFonts w:ascii="Cambria Math" w:hAnsi="Cambria Math" w:cs="Cambria Math"/>
                <w:b/>
                <w:bCs/>
                <w:lang w:val="en-GB"/>
              </w:rPr>
              <w:t>𝜎</w:t>
            </w:r>
            <w:r w:rsidRPr="00083EC4">
              <w:rPr>
                <w:b/>
                <w:bCs/>
                <w:i/>
                <w:iCs/>
                <w:vertAlign w:val="subscript"/>
                <w:lang w:val="en-GB"/>
              </w:rPr>
              <w:t>max</w:t>
            </w:r>
            <w:r w:rsidRPr="00083EC4">
              <w:rPr>
                <w:b/>
                <w:bCs/>
                <w:i/>
                <w:iCs/>
                <w:lang w:val="en-GB"/>
              </w:rPr>
              <w:t xml:space="preserve"> </w:t>
            </w:r>
            <w:r w:rsidRPr="00083EC4">
              <w:rPr>
                <w:b/>
                <w:bCs/>
                <w:lang w:val="en-GB"/>
              </w:rPr>
              <w:t>[MPa]</w:t>
            </w:r>
          </w:p>
        </w:tc>
        <w:tc>
          <w:tcPr>
            <w:tcW w:w="1641" w:type="dxa"/>
            <w:tcBorders>
              <w:top w:val="single" w:sz="4" w:space="0" w:color="auto"/>
              <w:bottom w:val="single" w:sz="4" w:space="0" w:color="auto"/>
            </w:tcBorders>
            <w:vAlign w:val="center"/>
          </w:tcPr>
          <w:p w14:paraId="32C443DC" w14:textId="19B4BC9E" w:rsidR="00083EC4" w:rsidRPr="00083EC4" w:rsidRDefault="00083EC4" w:rsidP="00925005">
            <w:pPr>
              <w:pStyle w:val="TableCaption"/>
              <w:spacing w:before="0"/>
              <w:rPr>
                <w:b/>
                <w:bCs/>
              </w:rPr>
            </w:pPr>
            <w:r w:rsidRPr="00083EC4">
              <w:rPr>
                <w:b/>
                <w:bCs/>
                <w:lang w:val="en-GB"/>
              </w:rPr>
              <w:t xml:space="preserve">Minimum stress, </w:t>
            </w:r>
            <w:r w:rsidRPr="00083EC4">
              <w:rPr>
                <w:rFonts w:ascii="Cambria Math" w:hAnsi="Cambria Math" w:cs="Cambria Math"/>
                <w:b/>
                <w:bCs/>
                <w:lang w:val="en-GB"/>
              </w:rPr>
              <w:t>𝜎</w:t>
            </w:r>
            <w:r w:rsidRPr="00083EC4">
              <w:rPr>
                <w:b/>
                <w:bCs/>
                <w:i/>
                <w:iCs/>
                <w:vertAlign w:val="subscript"/>
                <w:lang w:val="en-GB"/>
              </w:rPr>
              <w:t xml:space="preserve">min </w:t>
            </w:r>
            <w:r w:rsidRPr="00083EC4">
              <w:rPr>
                <w:b/>
                <w:bCs/>
                <w:lang w:val="en-GB"/>
              </w:rPr>
              <w:t>[MPa]</w:t>
            </w:r>
          </w:p>
        </w:tc>
        <w:tc>
          <w:tcPr>
            <w:tcW w:w="1630" w:type="dxa"/>
            <w:tcBorders>
              <w:top w:val="single" w:sz="4" w:space="0" w:color="auto"/>
              <w:bottom w:val="single" w:sz="4" w:space="0" w:color="auto"/>
            </w:tcBorders>
            <w:vAlign w:val="center"/>
          </w:tcPr>
          <w:p w14:paraId="0FB1E146" w14:textId="45B4AE86" w:rsidR="00083EC4" w:rsidRPr="00083EC4" w:rsidRDefault="00083EC4" w:rsidP="00925005">
            <w:pPr>
              <w:pStyle w:val="TableCaption"/>
              <w:spacing w:before="0"/>
              <w:rPr>
                <w:b/>
                <w:bCs/>
              </w:rPr>
            </w:pPr>
            <w:r w:rsidRPr="00083EC4">
              <w:rPr>
                <w:b/>
                <w:bCs/>
                <w:lang w:val="en-GB"/>
              </w:rPr>
              <w:t xml:space="preserve">Stress amplitude, </w:t>
            </w:r>
            <w:r w:rsidRPr="00083EC4">
              <w:rPr>
                <w:rFonts w:ascii="Cambria Math" w:hAnsi="Cambria Math" w:cs="Cambria Math"/>
                <w:b/>
                <w:bCs/>
                <w:lang w:val="en-GB"/>
              </w:rPr>
              <w:t>𝜎</w:t>
            </w:r>
            <w:r w:rsidRPr="00083EC4">
              <w:rPr>
                <w:b/>
                <w:bCs/>
                <w:i/>
                <w:iCs/>
                <w:vertAlign w:val="subscript"/>
                <w:lang w:val="en-GB"/>
              </w:rPr>
              <w:t>a</w:t>
            </w:r>
            <w:r w:rsidRPr="00083EC4">
              <w:rPr>
                <w:b/>
                <w:bCs/>
                <w:lang w:val="en-GB"/>
              </w:rPr>
              <w:t xml:space="preserve"> [MPa]</w:t>
            </w:r>
          </w:p>
        </w:tc>
        <w:tc>
          <w:tcPr>
            <w:tcW w:w="1691" w:type="dxa"/>
            <w:tcBorders>
              <w:top w:val="single" w:sz="4" w:space="0" w:color="auto"/>
              <w:bottom w:val="single" w:sz="4" w:space="0" w:color="auto"/>
            </w:tcBorders>
            <w:vAlign w:val="center"/>
          </w:tcPr>
          <w:p w14:paraId="624ADDFC" w14:textId="3F981C34" w:rsidR="00083EC4" w:rsidRPr="00083EC4" w:rsidRDefault="00083EC4" w:rsidP="00925005">
            <w:pPr>
              <w:pStyle w:val="TableCaption"/>
              <w:spacing w:before="0"/>
              <w:rPr>
                <w:b/>
                <w:bCs/>
              </w:rPr>
            </w:pPr>
            <w:r w:rsidRPr="00083EC4">
              <w:rPr>
                <w:b/>
                <w:bCs/>
                <w:lang w:val="en-GB"/>
              </w:rPr>
              <w:t xml:space="preserve">Fatigue safety factor, </w:t>
            </w:r>
            <w:r w:rsidRPr="00083EC4">
              <w:rPr>
                <w:b/>
                <w:bCs/>
                <w:i/>
                <w:iCs/>
                <w:lang w:val="en-GB"/>
              </w:rPr>
              <w:t>n</w:t>
            </w:r>
          </w:p>
        </w:tc>
      </w:tr>
      <w:tr w:rsidR="00083EC4" w:rsidRPr="00083EC4" w14:paraId="52659C97" w14:textId="66E3425B" w:rsidTr="00251D5C">
        <w:trPr>
          <w:cantSplit/>
          <w:trHeight w:val="52"/>
          <w:jc w:val="center"/>
        </w:trPr>
        <w:tc>
          <w:tcPr>
            <w:tcW w:w="1333" w:type="dxa"/>
            <w:tcBorders>
              <w:top w:val="nil"/>
            </w:tcBorders>
            <w:vAlign w:val="center"/>
          </w:tcPr>
          <w:p w14:paraId="69B0E301" w14:textId="1EF28070" w:rsidR="00083EC4" w:rsidRPr="00083EC4" w:rsidRDefault="00083EC4" w:rsidP="00925005">
            <w:pPr>
              <w:pStyle w:val="TableCaption"/>
              <w:spacing w:before="0"/>
              <w:rPr>
                <w:sz w:val="20"/>
                <w:szCs w:val="20"/>
              </w:rPr>
            </w:pPr>
            <w:r w:rsidRPr="00083EC4">
              <w:rPr>
                <w:lang w:val="en-GB"/>
              </w:rPr>
              <w:t>47,85</w:t>
            </w:r>
          </w:p>
        </w:tc>
        <w:tc>
          <w:tcPr>
            <w:tcW w:w="1777" w:type="dxa"/>
            <w:tcBorders>
              <w:top w:val="nil"/>
            </w:tcBorders>
            <w:vAlign w:val="center"/>
          </w:tcPr>
          <w:p w14:paraId="6B174E0D" w14:textId="583613B1" w:rsidR="00083EC4" w:rsidRPr="00083EC4" w:rsidRDefault="00083EC4" w:rsidP="00925005">
            <w:pPr>
              <w:pStyle w:val="TableCaption"/>
              <w:spacing w:before="0"/>
              <w:rPr>
                <w:lang w:val="en-GB"/>
              </w:rPr>
            </w:pPr>
            <w:r w:rsidRPr="00083EC4">
              <w:rPr>
                <w:lang w:val="en-GB"/>
              </w:rPr>
              <w:t>0,238</w:t>
            </w:r>
          </w:p>
        </w:tc>
        <w:tc>
          <w:tcPr>
            <w:tcW w:w="1617" w:type="dxa"/>
            <w:tcBorders>
              <w:top w:val="nil"/>
            </w:tcBorders>
            <w:vAlign w:val="center"/>
          </w:tcPr>
          <w:p w14:paraId="4AA02FBB" w14:textId="2D9E4053" w:rsidR="00083EC4" w:rsidRPr="00083EC4" w:rsidRDefault="00083EC4" w:rsidP="00925005">
            <w:pPr>
              <w:pStyle w:val="TableCaption"/>
              <w:spacing w:before="0"/>
              <w:rPr>
                <w:lang w:val="en-GB"/>
              </w:rPr>
            </w:pPr>
            <w:r w:rsidRPr="00083EC4">
              <w:rPr>
                <w:lang w:val="en-GB"/>
              </w:rPr>
              <w:t>59,23</w:t>
            </w:r>
          </w:p>
        </w:tc>
        <w:tc>
          <w:tcPr>
            <w:tcW w:w="1641" w:type="dxa"/>
            <w:tcBorders>
              <w:top w:val="nil"/>
            </w:tcBorders>
            <w:vAlign w:val="center"/>
          </w:tcPr>
          <w:p w14:paraId="4201995F" w14:textId="16745818" w:rsidR="00083EC4" w:rsidRPr="00083EC4" w:rsidRDefault="00083EC4" w:rsidP="00925005">
            <w:pPr>
              <w:pStyle w:val="TableCaption"/>
              <w:spacing w:before="0"/>
              <w:rPr>
                <w:sz w:val="20"/>
                <w:szCs w:val="20"/>
              </w:rPr>
            </w:pPr>
            <w:r w:rsidRPr="00083EC4">
              <w:rPr>
                <w:lang w:val="en-GB"/>
              </w:rPr>
              <w:t>36,46</w:t>
            </w:r>
          </w:p>
        </w:tc>
        <w:tc>
          <w:tcPr>
            <w:tcW w:w="1630" w:type="dxa"/>
            <w:tcBorders>
              <w:top w:val="nil"/>
            </w:tcBorders>
            <w:vAlign w:val="center"/>
          </w:tcPr>
          <w:p w14:paraId="6A76D873" w14:textId="08643CDB" w:rsidR="00083EC4" w:rsidRPr="00083EC4" w:rsidRDefault="00083EC4" w:rsidP="00925005">
            <w:pPr>
              <w:pStyle w:val="TableCaption"/>
              <w:spacing w:before="0"/>
              <w:rPr>
                <w:lang w:val="en-GB"/>
              </w:rPr>
            </w:pPr>
            <w:r w:rsidRPr="00083EC4">
              <w:rPr>
                <w:lang w:val="en-GB"/>
              </w:rPr>
              <w:t>11,39</w:t>
            </w:r>
          </w:p>
        </w:tc>
        <w:tc>
          <w:tcPr>
            <w:tcW w:w="1691" w:type="dxa"/>
            <w:tcBorders>
              <w:top w:val="nil"/>
            </w:tcBorders>
            <w:vAlign w:val="center"/>
          </w:tcPr>
          <w:p w14:paraId="59AB1CDD" w14:textId="087F5083" w:rsidR="00083EC4" w:rsidRPr="00083EC4" w:rsidRDefault="00083EC4" w:rsidP="00925005">
            <w:pPr>
              <w:pStyle w:val="TableCaption"/>
              <w:spacing w:before="0"/>
              <w:rPr>
                <w:lang w:val="en-GB"/>
              </w:rPr>
            </w:pPr>
            <w:r w:rsidRPr="00083EC4">
              <w:rPr>
                <w:lang w:val="en-GB"/>
              </w:rPr>
              <w:t>5,1</w:t>
            </w:r>
          </w:p>
        </w:tc>
      </w:tr>
    </w:tbl>
    <w:tbl>
      <w:tblPr>
        <w:tblStyle w:val="a8"/>
        <w:tblW w:w="907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0"/>
      </w:tblGrid>
      <w:tr w:rsidR="00E9469A" w:rsidRPr="00891988" w14:paraId="29D89D75" w14:textId="77777777" w:rsidTr="00083EC4">
        <w:trPr>
          <w:trHeight w:val="231"/>
          <w:jc w:val="center"/>
        </w:trPr>
        <w:tc>
          <w:tcPr>
            <w:tcW w:w="9070" w:type="dxa"/>
            <w:vAlign w:val="center"/>
          </w:tcPr>
          <w:p w14:paraId="1DE65F09" w14:textId="77777777" w:rsidR="00E9469A" w:rsidRPr="00891988" w:rsidRDefault="00E9469A" w:rsidP="00083EC4">
            <w:pPr>
              <w:pStyle w:val="Figure"/>
              <w:rPr>
                <w:lang w:val="en-GB"/>
              </w:rPr>
            </w:pPr>
            <w:r w:rsidRPr="00891988">
              <w:rPr>
                <w:noProof/>
                <w:lang w:val="en-GB"/>
              </w:rPr>
              <w:lastRenderedPageBreak/>
              <w:drawing>
                <wp:inline distT="0" distB="0" distL="0" distR="0" wp14:anchorId="6BDE3A9B" wp14:editId="6A405264">
                  <wp:extent cx="5760000" cy="2023200"/>
                  <wp:effectExtent l="0" t="0" r="0" b="0"/>
                  <wp:docPr id="18036094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b="3929"/>
                          <a:stretch/>
                        </pic:blipFill>
                        <pic:spPr bwMode="auto">
                          <a:xfrm>
                            <a:off x="0" y="0"/>
                            <a:ext cx="5760000" cy="20232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E9469A" w:rsidRPr="00891988" w14:paraId="61D41ED4" w14:textId="77777777" w:rsidTr="00083EC4">
        <w:trPr>
          <w:trHeight w:val="236"/>
          <w:jc w:val="center"/>
        </w:trPr>
        <w:tc>
          <w:tcPr>
            <w:tcW w:w="9070" w:type="dxa"/>
            <w:vAlign w:val="center"/>
          </w:tcPr>
          <w:p w14:paraId="761D6C64" w14:textId="77777777" w:rsidR="00E9469A" w:rsidRPr="00891988" w:rsidRDefault="00E9469A" w:rsidP="00083EC4">
            <w:pPr>
              <w:pStyle w:val="Figure"/>
              <w:rPr>
                <w:lang w:val="en-GB"/>
              </w:rPr>
            </w:pPr>
            <w:r w:rsidRPr="00891988">
              <w:rPr>
                <w:noProof/>
                <w:lang w:val="en-GB"/>
              </w:rPr>
              <w:drawing>
                <wp:inline distT="0" distB="0" distL="0" distR="0" wp14:anchorId="5FDCD337" wp14:editId="40A5AF4E">
                  <wp:extent cx="5760000" cy="2041200"/>
                  <wp:effectExtent l="0" t="0" r="0" b="0"/>
                  <wp:docPr id="347096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a:extLst>
                              <a:ext uri="{28A0092B-C50C-407E-A947-70E740481C1C}">
                                <a14:useLocalDpi xmlns:a14="http://schemas.microsoft.com/office/drawing/2010/main" val="0"/>
                              </a:ext>
                            </a:extLst>
                          </a:blip>
                          <a:srcRect t="4760"/>
                          <a:stretch/>
                        </pic:blipFill>
                        <pic:spPr bwMode="auto">
                          <a:xfrm>
                            <a:off x="0" y="0"/>
                            <a:ext cx="5760000" cy="2041200"/>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21AF9770" w14:textId="13279EDF" w:rsidR="00E9469A" w:rsidRDefault="00083EC4" w:rsidP="00251D5C">
      <w:pPr>
        <w:pStyle w:val="FigureCaption"/>
        <w:spacing w:before="0" w:after="120"/>
        <w:rPr>
          <w:rFonts w:eastAsia="Times"/>
        </w:rPr>
      </w:pPr>
      <w:r w:rsidRPr="0042530D">
        <w:rPr>
          <w:rFonts w:eastAsia="Times"/>
          <w:b/>
        </w:rPr>
        <w:t>FIG</w:t>
      </w:r>
      <w:r>
        <w:rPr>
          <w:rFonts w:eastAsia="Times"/>
          <w:b/>
        </w:rPr>
        <w:t>URE</w:t>
      </w:r>
      <w:r w:rsidRPr="0042530D">
        <w:rPr>
          <w:rFonts w:eastAsia="Times"/>
          <w:b/>
        </w:rPr>
        <w:t xml:space="preserve"> </w:t>
      </w:r>
      <w:r w:rsidR="00E9469A">
        <w:rPr>
          <w:rFonts w:eastAsia="Times"/>
          <w:b/>
        </w:rPr>
        <w:t>4</w:t>
      </w:r>
      <w:r w:rsidR="00E9469A" w:rsidRPr="0042530D">
        <w:rPr>
          <w:rFonts w:eastAsia="Times"/>
          <w:b/>
        </w:rPr>
        <w:t>.</w:t>
      </w:r>
      <w:r w:rsidR="00E9469A" w:rsidRPr="0042530D">
        <w:rPr>
          <w:rFonts w:eastAsia="Times"/>
        </w:rPr>
        <w:t xml:space="preserve"> </w:t>
      </w:r>
      <w:r w:rsidR="00E9469A" w:rsidRPr="00760596">
        <w:rPr>
          <w:rFonts w:eastAsia="Times"/>
        </w:rPr>
        <w:t>Distribution of equivalent stresses in the main frame</w:t>
      </w:r>
      <w:r w:rsidR="00E9469A" w:rsidRPr="00730DE7">
        <w:rPr>
          <w:rFonts w:eastAsia="Times"/>
        </w:rPr>
        <w:t>.</w:t>
      </w:r>
    </w:p>
    <w:p w14:paraId="68517728" w14:textId="7FEA6866" w:rsidR="00E9469A" w:rsidRPr="00083EC4" w:rsidRDefault="00E9469A" w:rsidP="00083EC4">
      <w:pPr>
        <w:pStyle w:val="1"/>
      </w:pPr>
      <w:r w:rsidRPr="00083EC4">
        <w:rPr>
          <w:rFonts w:eastAsia="Times"/>
        </w:rPr>
        <w:t>Conclusion</w:t>
      </w:r>
    </w:p>
    <w:p w14:paraId="185520B6" w14:textId="77777777" w:rsidR="00E9469A" w:rsidRPr="009729C9" w:rsidRDefault="00E9469A" w:rsidP="00083EC4">
      <w:pPr>
        <w:pStyle w:val="Paragraph"/>
        <w:rPr>
          <w:rFonts w:eastAsia="Times"/>
        </w:rPr>
      </w:pPr>
      <w:r w:rsidRPr="009729C9">
        <w:rPr>
          <w:rFonts w:eastAsia="Times"/>
        </w:rPr>
        <w:t>The research results fully comply with the requirements of GOST 34939, which serves as a regulatory document. Specifically, according to the data presented in Table 4, it was determined that the maximum stress in the concentration zone (59.23 MPa) is significantly lower than the permissible stress (183 MPa), and the fatigue safety factor (n = 5.1) is considerably higher than its permissible value (n = 2).</w:t>
      </w:r>
    </w:p>
    <w:p w14:paraId="14D49E2B" w14:textId="77777777" w:rsidR="00E9469A" w:rsidRPr="0006054D" w:rsidRDefault="00E9469A" w:rsidP="00083EC4">
      <w:pPr>
        <w:pStyle w:val="Paragraph"/>
        <w:rPr>
          <w:rFonts w:eastAsia="Times"/>
        </w:rPr>
      </w:pPr>
      <w:r w:rsidRPr="009729C9">
        <w:rPr>
          <w:rFonts w:eastAsia="Times"/>
        </w:rPr>
        <w:t>According to the calculation results, the main frame demonstrates sufficient rigidity and strength under static loads. However, to ensure long-term reliability, it is recommended to inspect and reinforce areas subjected to high stress during major repairs without causing additional damage. During scheduled periodic overhauls, the reliability and service life of the main frame can be extended through mechanical and thermal treatment of elements and welded joints in its hazardous zones, allowing for long-term use.</w:t>
      </w:r>
    </w:p>
    <w:p w14:paraId="061A84CD" w14:textId="1592B0EC" w:rsidR="00E9469A" w:rsidRDefault="007E758B" w:rsidP="00251D5C">
      <w:pPr>
        <w:pStyle w:val="1"/>
      </w:pPr>
      <w:r w:rsidRPr="00075EA6">
        <w:t>References</w:t>
      </w:r>
    </w:p>
    <w:p w14:paraId="2D76B721" w14:textId="0D9E17D3" w:rsidR="00BF6CFF" w:rsidRDefault="00BF6CFF" w:rsidP="00251D5C">
      <w:pPr>
        <w:pStyle w:val="Reference"/>
        <w:ind w:left="425" w:hanging="425"/>
      </w:pPr>
      <w:r>
        <w:t xml:space="preserve">S. Abdurasulov, N. Zayniddinov, A. Yusufov, and S. Jamilov, </w:t>
      </w:r>
      <w:r w:rsidR="00AE5A07">
        <w:t>“</w:t>
      </w:r>
      <w:r w:rsidR="00AE5A07" w:rsidRPr="00AE5A07">
        <w:t>Analysis of stress-strain state of bogie frame of PE2U and PE2M industrial traction unit</w:t>
      </w:r>
      <w:r w:rsidR="00AE5A07">
        <w:t xml:space="preserve">,” </w:t>
      </w:r>
      <w:r w:rsidR="00AE5A07" w:rsidRPr="00075EA6">
        <w:t>in</w:t>
      </w:r>
      <w:r w:rsidR="00AE5A07">
        <w:t xml:space="preserve"> </w:t>
      </w:r>
      <w:r w:rsidR="00AE5A07" w:rsidRPr="00AE5A07">
        <w:rPr>
          <w:i/>
          <w:iCs/>
        </w:rPr>
        <w:t>Construction Mechanics, Hydraulics and Water Resources Engineering</w:t>
      </w:r>
      <w:r w:rsidR="00AE5A07" w:rsidRPr="00AE5A07">
        <w:t xml:space="preserve"> </w:t>
      </w:r>
      <w:r w:rsidR="00DD699D" w:rsidRPr="00DD699D">
        <w:t>(CONMECHYDRO - 2023)</w:t>
      </w:r>
      <w:r w:rsidR="00DD699D">
        <w:t xml:space="preserve">, </w:t>
      </w:r>
      <w:r w:rsidR="00DD699D" w:rsidRPr="00DD699D">
        <w:t>E3S Web of Conferences</w:t>
      </w:r>
      <w:r>
        <w:t xml:space="preserve"> </w:t>
      </w:r>
      <w:r w:rsidRPr="00DD699D">
        <w:t>401</w:t>
      </w:r>
      <w:r>
        <w:t xml:space="preserve">, </w:t>
      </w:r>
      <w:r w:rsidR="005271EE" w:rsidRPr="00075EA6">
        <w:t xml:space="preserve">edited by </w:t>
      </w:r>
      <w:r w:rsidR="005271EE" w:rsidRPr="005271EE">
        <w:t xml:space="preserve">D. Bazarov </w:t>
      </w:r>
      <w:r w:rsidR="005271EE">
        <w:t>(</w:t>
      </w:r>
      <w:r w:rsidR="005271EE" w:rsidRPr="005271EE">
        <w:t>EDP Sciences</w:t>
      </w:r>
      <w:r w:rsidR="001E74B5">
        <w:t>,</w:t>
      </w:r>
      <w:r w:rsidR="00E82A8F">
        <w:t xml:space="preserve"> Les Ulis, France, </w:t>
      </w:r>
      <w:r w:rsidR="005271EE">
        <w:t>2023)</w:t>
      </w:r>
      <w:r w:rsidR="00E82A8F">
        <w:t>,</w:t>
      </w:r>
      <w:r w:rsidR="005271EE">
        <w:t xml:space="preserve"> </w:t>
      </w:r>
      <w:r w:rsidR="005271EE" w:rsidRPr="00075EA6">
        <w:t>p.</w:t>
      </w:r>
      <w:r w:rsidR="003B62E1">
        <w:t xml:space="preserve"> </w:t>
      </w:r>
      <w:r>
        <w:t>04022.</w:t>
      </w:r>
    </w:p>
    <w:p w14:paraId="3E5C37FE" w14:textId="23CCA163" w:rsidR="00BF6CFF" w:rsidRDefault="00BF6CFF" w:rsidP="00251D5C">
      <w:pPr>
        <w:pStyle w:val="Reference"/>
        <w:ind w:left="425" w:hanging="425"/>
      </w:pPr>
      <w:r>
        <w:t xml:space="preserve">S. Abdurasulov, N. Zayniddinov, A. Yusufov, S. Jamilov, and F. Khikmatov, </w:t>
      </w:r>
      <w:r w:rsidRPr="00F955A6">
        <w:rPr>
          <w:i/>
          <w:iCs/>
        </w:rPr>
        <w:t>J. Transport</w:t>
      </w:r>
      <w:r w:rsidR="002B6B70">
        <w:t xml:space="preserve"> </w:t>
      </w:r>
      <w:r w:rsidRPr="00F955A6">
        <w:rPr>
          <w:b/>
          <w:bCs/>
        </w:rPr>
        <w:t>1</w:t>
      </w:r>
      <w:r>
        <w:t>, 45 (2024).</w:t>
      </w:r>
    </w:p>
    <w:p w14:paraId="6E624DFF" w14:textId="3601CD18" w:rsidR="002458A7" w:rsidRDefault="002458A7" w:rsidP="00251D5C">
      <w:pPr>
        <w:pStyle w:val="Reference"/>
        <w:ind w:left="425" w:hanging="425"/>
      </w:pPr>
      <w:r w:rsidRPr="002D759F">
        <w:t>S. Abdurasulov, N. Zayniddinov, O. Khamidov, A. Yusufov, and S. Jamilov</w:t>
      </w:r>
      <w:r w:rsidRPr="00075EA6">
        <w:t>, “</w:t>
      </w:r>
      <w:r w:rsidRPr="002D759F">
        <w:t>Stress-strain state analysis of cross beam of main frame of industrial electric locomotives PE2M and PE2U</w:t>
      </w:r>
      <w:r>
        <w:t>,</w:t>
      </w:r>
      <w:r w:rsidRPr="00075EA6">
        <w:t xml:space="preserve">” in </w:t>
      </w:r>
      <w:r w:rsidRPr="003D6502">
        <w:rPr>
          <w:i/>
        </w:rPr>
        <w:t xml:space="preserve">Water, Energy and Food Security in the Context of Global Climate Change and Water Scarcity </w:t>
      </w:r>
      <w:r w:rsidRPr="003D6502">
        <w:rPr>
          <w:iCs/>
        </w:rPr>
        <w:t>(</w:t>
      </w:r>
      <w:proofErr w:type="spellStart"/>
      <w:r w:rsidRPr="003D6502">
        <w:rPr>
          <w:iCs/>
        </w:rPr>
        <w:t>WEFClim</w:t>
      </w:r>
      <w:proofErr w:type="spellEnd"/>
      <w:r w:rsidRPr="003D6502">
        <w:rPr>
          <w:iCs/>
        </w:rPr>
        <w:t xml:space="preserve"> 2023</w:t>
      </w:r>
      <w:r w:rsidRPr="003D6502">
        <w:rPr>
          <w:i/>
        </w:rPr>
        <w:t>)</w:t>
      </w:r>
      <w:r w:rsidRPr="00075EA6">
        <w:t xml:space="preserve">, AIP Conference Proceedings </w:t>
      </w:r>
      <w:r w:rsidRPr="002D759F">
        <w:rPr>
          <w:bCs/>
        </w:rPr>
        <w:t>3256</w:t>
      </w:r>
      <w:r w:rsidRPr="002D759F">
        <w:t>(1)</w:t>
      </w:r>
      <w:r w:rsidRPr="00075EA6">
        <w:t xml:space="preserve">, edited by </w:t>
      </w:r>
      <w:r w:rsidRPr="00044944">
        <w:t>M. Kh. Khamidov</w:t>
      </w:r>
      <w:r w:rsidRPr="00075EA6">
        <w:t xml:space="preserve"> </w:t>
      </w:r>
      <w:r>
        <w:t>(</w:t>
      </w:r>
      <w:r w:rsidRPr="00075EA6">
        <w:t>A</w:t>
      </w:r>
      <w:r>
        <w:t>IP Publishing</w:t>
      </w:r>
      <w:r w:rsidRPr="00075EA6">
        <w:t>, Melville, NY, 20</w:t>
      </w:r>
      <w:r>
        <w:t>25)</w:t>
      </w:r>
      <w:r w:rsidRPr="00075EA6">
        <w:t xml:space="preserve">, pp. </w:t>
      </w:r>
      <w:r w:rsidRPr="002D759F">
        <w:t>060011</w:t>
      </w:r>
      <w:r w:rsidRPr="00075EA6">
        <w:t>.</w:t>
      </w:r>
    </w:p>
    <w:p w14:paraId="72DCDE4B" w14:textId="401C658A" w:rsidR="00BF6CFF" w:rsidRDefault="00BF6CFF" w:rsidP="00251D5C">
      <w:pPr>
        <w:pStyle w:val="Reference"/>
        <w:ind w:left="425" w:hanging="425"/>
      </w:pPr>
      <w:r>
        <w:t xml:space="preserve">S. Jamilov, A. Yusufov, S. Samatov, S. </w:t>
      </w:r>
      <w:proofErr w:type="spellStart"/>
      <w:r>
        <w:t>Kudratov</w:t>
      </w:r>
      <w:proofErr w:type="spellEnd"/>
      <w:r>
        <w:t xml:space="preserve">, and S. Abdurasulov, </w:t>
      </w:r>
      <w:r w:rsidR="00CD6209">
        <w:t>“</w:t>
      </w:r>
      <w:r w:rsidR="00CD6209" w:rsidRPr="00CD6209">
        <w:t>Research of Factors Affecting the Heating and Cooling of Locomotive Traction Electric Machines</w:t>
      </w:r>
      <w:r w:rsidR="00CD6209">
        <w:t xml:space="preserve">,” </w:t>
      </w:r>
      <w:r>
        <w:t>in</w:t>
      </w:r>
      <w:r w:rsidRPr="00F955A6">
        <w:rPr>
          <w:i/>
          <w:iCs/>
        </w:rPr>
        <w:t xml:space="preserve"> </w:t>
      </w:r>
      <w:r w:rsidR="00CD6209" w:rsidRPr="00CD6209">
        <w:rPr>
          <w:i/>
          <w:iCs/>
        </w:rPr>
        <w:t>ICTEA: International Conference on Thermal Engineering</w:t>
      </w:r>
      <w:r w:rsidR="00CD6209" w:rsidRPr="00CD6209">
        <w:t>,</w:t>
      </w:r>
      <w:r w:rsidR="00CD6209">
        <w:rPr>
          <w:i/>
          <w:iCs/>
        </w:rPr>
        <w:t xml:space="preserve"> </w:t>
      </w:r>
      <w:r w:rsidR="002831B7" w:rsidRPr="00075EA6">
        <w:t>edited by</w:t>
      </w:r>
      <w:r w:rsidR="002831B7">
        <w:t xml:space="preserve"> </w:t>
      </w:r>
      <w:r w:rsidR="002831B7" w:rsidRPr="002831B7">
        <w:t>Z</w:t>
      </w:r>
      <w:r w:rsidR="002831B7">
        <w:t>.</w:t>
      </w:r>
      <w:r w:rsidR="002831B7" w:rsidRPr="002831B7">
        <w:t xml:space="preserve"> Saghir</w:t>
      </w:r>
      <w:r>
        <w:t xml:space="preserve"> </w:t>
      </w:r>
      <w:r w:rsidR="002831B7">
        <w:t>(Ryerson University, Toronto, Canada, 202</w:t>
      </w:r>
      <w:r w:rsidR="001D7A0E">
        <w:t>4</w:t>
      </w:r>
      <w:r w:rsidR="002831B7">
        <w:t>)</w:t>
      </w:r>
      <w:r>
        <w:t>.</w:t>
      </w:r>
    </w:p>
    <w:p w14:paraId="4B9BF045" w14:textId="77777777" w:rsidR="001D7A0E" w:rsidRDefault="001D7A0E" w:rsidP="00251D5C">
      <w:pPr>
        <w:pStyle w:val="Reference"/>
        <w:ind w:left="425" w:hanging="425"/>
      </w:pPr>
      <w:r>
        <w:t xml:space="preserve">S. Jamilov, O. Ergashev, M. </w:t>
      </w:r>
      <w:proofErr w:type="spellStart"/>
      <w:r>
        <w:t>Abduvaxobov</w:t>
      </w:r>
      <w:proofErr w:type="spellEnd"/>
      <w:r>
        <w:t>, S. Azimov, and S. Abdurasulov, “</w:t>
      </w:r>
      <w:r w:rsidRPr="001D7A0E">
        <w:t>Improving the temperature resistance of traction electric motors using a microprocessor control system for modern locomotives</w:t>
      </w:r>
      <w:r>
        <w:t xml:space="preserve">,” </w:t>
      </w:r>
      <w:r w:rsidRPr="00075EA6">
        <w:t>in</w:t>
      </w:r>
      <w:r>
        <w:t xml:space="preserve"> </w:t>
      </w:r>
      <w:r w:rsidRPr="00AE5A07">
        <w:rPr>
          <w:i/>
          <w:iCs/>
        </w:rPr>
        <w:t xml:space="preserve">Construction </w:t>
      </w:r>
      <w:r w:rsidRPr="00AE5A07">
        <w:rPr>
          <w:i/>
          <w:iCs/>
        </w:rPr>
        <w:lastRenderedPageBreak/>
        <w:t>Mechanics, Hydraulics and Water Resources Engineering</w:t>
      </w:r>
      <w:r w:rsidRPr="00AE5A07">
        <w:t xml:space="preserve"> </w:t>
      </w:r>
      <w:r w:rsidRPr="00DD699D">
        <w:t>(CONMECHYDRO - 2023)</w:t>
      </w:r>
      <w:r>
        <w:t xml:space="preserve">, </w:t>
      </w:r>
      <w:r w:rsidRPr="00DD699D">
        <w:t>E3S Web of Conferences</w:t>
      </w:r>
      <w:r>
        <w:t xml:space="preserve"> </w:t>
      </w:r>
      <w:r w:rsidRPr="00DD699D">
        <w:t>401</w:t>
      </w:r>
      <w:r>
        <w:t xml:space="preserve">, </w:t>
      </w:r>
      <w:r w:rsidRPr="00075EA6">
        <w:t xml:space="preserve">edited by </w:t>
      </w:r>
      <w:r w:rsidRPr="005271EE">
        <w:t xml:space="preserve">D. Bazarov </w:t>
      </w:r>
      <w:r>
        <w:t>(</w:t>
      </w:r>
      <w:r w:rsidRPr="005271EE">
        <w:t>EDP Sciences</w:t>
      </w:r>
      <w:r>
        <w:t xml:space="preserve">, Les Ulis, France, 2023), </w:t>
      </w:r>
      <w:r w:rsidRPr="00075EA6">
        <w:t>p.</w:t>
      </w:r>
      <w:r>
        <w:t xml:space="preserve"> 03030.</w:t>
      </w:r>
    </w:p>
    <w:p w14:paraId="2D0F4539" w14:textId="404A60E5" w:rsidR="00364F14" w:rsidRDefault="00364F14" w:rsidP="00251D5C">
      <w:pPr>
        <w:pStyle w:val="Reference"/>
        <w:ind w:left="425" w:hanging="425"/>
      </w:pPr>
      <w:r w:rsidRPr="006F272D">
        <w:t>S.</w:t>
      </w:r>
      <w:r>
        <w:t xml:space="preserve"> </w:t>
      </w:r>
      <w:r w:rsidRPr="006F272D">
        <w:t>Jamilov, U. Safarov, N.</w:t>
      </w:r>
      <w:r>
        <w:t xml:space="preserve"> </w:t>
      </w:r>
      <w:proofErr w:type="spellStart"/>
      <w:r w:rsidRPr="006F272D">
        <w:t>Julenev</w:t>
      </w:r>
      <w:proofErr w:type="spellEnd"/>
      <w:r w:rsidRPr="006F272D">
        <w:t xml:space="preserve">, </w:t>
      </w:r>
      <w:r>
        <w:t>and</w:t>
      </w:r>
      <w:r w:rsidRPr="006F272D">
        <w:t xml:space="preserve"> K.</w:t>
      </w:r>
      <w:r>
        <w:t xml:space="preserve"> </w:t>
      </w:r>
      <w:proofErr w:type="spellStart"/>
      <w:r w:rsidRPr="006F272D">
        <w:t>Qosimov</w:t>
      </w:r>
      <w:proofErr w:type="spellEnd"/>
      <w:r>
        <w:t>, “</w:t>
      </w:r>
      <w:r w:rsidRPr="006F272D">
        <w:t>Analysis of Experimental Studies of Transient Processes during the Start-up of the Protection of the Diesel Generator Set</w:t>
      </w:r>
      <w:r>
        <w:t>,” in</w:t>
      </w:r>
      <w:r w:rsidRPr="00F955A6">
        <w:rPr>
          <w:i/>
          <w:iCs/>
        </w:rPr>
        <w:t xml:space="preserve"> </w:t>
      </w:r>
      <w:r w:rsidRPr="00CD6209">
        <w:rPr>
          <w:i/>
          <w:iCs/>
        </w:rPr>
        <w:t>ICTEA: International Conference on Thermal Engineering</w:t>
      </w:r>
      <w:r w:rsidRPr="00CD6209">
        <w:t>,</w:t>
      </w:r>
      <w:r>
        <w:rPr>
          <w:i/>
          <w:iCs/>
        </w:rPr>
        <w:t xml:space="preserve"> </w:t>
      </w:r>
      <w:r w:rsidRPr="00075EA6">
        <w:t>edited by</w:t>
      </w:r>
      <w:r>
        <w:t xml:space="preserve"> </w:t>
      </w:r>
      <w:r w:rsidRPr="002831B7">
        <w:t>Z</w:t>
      </w:r>
      <w:r>
        <w:t>.</w:t>
      </w:r>
      <w:r w:rsidRPr="002831B7">
        <w:t xml:space="preserve"> Saghir</w:t>
      </w:r>
      <w:r>
        <w:t xml:space="preserve"> (Ryerson University, Toronto, Canada, 2024).</w:t>
      </w:r>
    </w:p>
    <w:p w14:paraId="609DAE4D" w14:textId="77777777" w:rsidR="007C75B1" w:rsidRDefault="007C75B1" w:rsidP="00251D5C">
      <w:pPr>
        <w:pStyle w:val="Reference"/>
        <w:ind w:left="425" w:hanging="425"/>
      </w:pPr>
      <w:r>
        <w:t xml:space="preserve">P. S. Grigorev and N. S. </w:t>
      </w:r>
      <w:proofErr w:type="spellStart"/>
      <w:r>
        <w:t>Kodirov</w:t>
      </w:r>
      <w:proofErr w:type="spellEnd"/>
      <w:r>
        <w:t xml:space="preserve">, </w:t>
      </w:r>
      <w:r w:rsidRPr="00F955A6">
        <w:rPr>
          <w:i/>
          <w:iCs/>
        </w:rPr>
        <w:t>Bull. Sci. Res. Results</w:t>
      </w:r>
      <w:r>
        <w:t xml:space="preserve"> </w:t>
      </w:r>
      <w:r w:rsidRPr="00F955A6">
        <w:rPr>
          <w:b/>
          <w:bCs/>
        </w:rPr>
        <w:t>2</w:t>
      </w:r>
      <w:r>
        <w:t>, 77-92 (2025).</w:t>
      </w:r>
    </w:p>
    <w:p w14:paraId="7BF46843" w14:textId="77777777" w:rsidR="007C75B1" w:rsidRDefault="007C75B1" w:rsidP="00251D5C">
      <w:pPr>
        <w:pStyle w:val="Reference"/>
        <w:ind w:left="425" w:hanging="425"/>
      </w:pPr>
      <w:r>
        <w:t xml:space="preserve">P. S. Grigorev, N. S. </w:t>
      </w:r>
      <w:proofErr w:type="spellStart"/>
      <w:r>
        <w:t>Kodirov</w:t>
      </w:r>
      <w:proofErr w:type="spellEnd"/>
      <w:r>
        <w:t>, and O. Bat-</w:t>
      </w:r>
      <w:proofErr w:type="spellStart"/>
      <w:r>
        <w:t>erdene</w:t>
      </w:r>
      <w:proofErr w:type="spellEnd"/>
      <w:r>
        <w:t xml:space="preserve">, </w:t>
      </w:r>
      <w:r w:rsidRPr="002B6B70">
        <w:rPr>
          <w:i/>
          <w:iCs/>
        </w:rPr>
        <w:t>Proc. Petersburg Transp. Univ</w:t>
      </w:r>
      <w:r>
        <w:t xml:space="preserve">. </w:t>
      </w:r>
      <w:r w:rsidRPr="002B6B70">
        <w:rPr>
          <w:b/>
          <w:bCs/>
        </w:rPr>
        <w:t>2</w:t>
      </w:r>
      <w:r>
        <w:t>, 395-406 (2025).</w:t>
      </w:r>
    </w:p>
    <w:p w14:paraId="27FB03EA" w14:textId="09210ED0" w:rsidR="007C75B1" w:rsidRDefault="007C75B1" w:rsidP="00251D5C">
      <w:pPr>
        <w:pStyle w:val="Reference"/>
        <w:ind w:left="425" w:hanging="425"/>
      </w:pPr>
      <w:r>
        <w:t xml:space="preserve">E. S. Oganyan, G. M. </w:t>
      </w:r>
      <w:proofErr w:type="spellStart"/>
      <w:r>
        <w:t>Volokhov</w:t>
      </w:r>
      <w:proofErr w:type="spellEnd"/>
      <w:r>
        <w:t xml:space="preserve">, A. S. </w:t>
      </w:r>
      <w:proofErr w:type="spellStart"/>
      <w:r>
        <w:t>Gasyuk</w:t>
      </w:r>
      <w:proofErr w:type="spellEnd"/>
      <w:r>
        <w:t xml:space="preserve">, and D. M. </w:t>
      </w:r>
      <w:proofErr w:type="spellStart"/>
      <w:r>
        <w:t>Fazliakhmetov</w:t>
      </w:r>
      <w:proofErr w:type="spellEnd"/>
      <w:r>
        <w:t xml:space="preserve">, </w:t>
      </w:r>
      <w:r w:rsidRPr="002B6B70">
        <w:rPr>
          <w:i/>
          <w:iCs/>
        </w:rPr>
        <w:t xml:space="preserve">J. Mach. Manuf. </w:t>
      </w:r>
      <w:proofErr w:type="spellStart"/>
      <w:r w:rsidRPr="002B6B70">
        <w:rPr>
          <w:i/>
          <w:iCs/>
        </w:rPr>
        <w:t>Reliab</w:t>
      </w:r>
      <w:proofErr w:type="spellEnd"/>
      <w:r>
        <w:t xml:space="preserve">. </w:t>
      </w:r>
      <w:r w:rsidRPr="002B6B70">
        <w:rPr>
          <w:b/>
          <w:bCs/>
        </w:rPr>
        <w:t>47</w:t>
      </w:r>
      <w:r>
        <w:rPr>
          <w:b/>
          <w:bCs/>
        </w:rPr>
        <w:t>(2)</w:t>
      </w:r>
      <w:r>
        <w:t>, 155-159 (2018).</w:t>
      </w:r>
    </w:p>
    <w:p w14:paraId="28D5E69D" w14:textId="3D413634" w:rsidR="00C21ABC" w:rsidRDefault="00C21ABC" w:rsidP="00251D5C">
      <w:pPr>
        <w:pStyle w:val="Reference"/>
        <w:ind w:left="425" w:hanging="425"/>
      </w:pPr>
      <w:r>
        <w:t xml:space="preserve">N. Zayniddinov and S. Abdurasulov, </w:t>
      </w:r>
      <w:r w:rsidRPr="002B6B70">
        <w:rPr>
          <w:i/>
          <w:iCs/>
        </w:rPr>
        <w:t xml:space="preserve">Sci. </w:t>
      </w:r>
      <w:proofErr w:type="spellStart"/>
      <w:r w:rsidRPr="002B6B70">
        <w:rPr>
          <w:i/>
          <w:iCs/>
        </w:rPr>
        <w:t>Innov</w:t>
      </w:r>
      <w:proofErr w:type="spellEnd"/>
      <w:r>
        <w:t xml:space="preserve">. </w:t>
      </w:r>
      <w:r w:rsidRPr="002B6B70">
        <w:rPr>
          <w:b/>
          <w:bCs/>
        </w:rPr>
        <w:t>1</w:t>
      </w:r>
      <w:r>
        <w:rPr>
          <w:b/>
          <w:bCs/>
        </w:rPr>
        <w:t>(A8)</w:t>
      </w:r>
      <w:r>
        <w:t>, 176-181 (2022).</w:t>
      </w:r>
    </w:p>
    <w:p w14:paraId="48D30E7E" w14:textId="488E7C6B" w:rsidR="003A72DB" w:rsidRDefault="003A72DB" w:rsidP="00251D5C">
      <w:pPr>
        <w:pStyle w:val="Reference"/>
        <w:ind w:left="425" w:hanging="425"/>
      </w:pPr>
      <w:r>
        <w:t xml:space="preserve">E. S. Oganyan, G. M. </w:t>
      </w:r>
      <w:proofErr w:type="spellStart"/>
      <w:r>
        <w:t>Volohov</w:t>
      </w:r>
      <w:proofErr w:type="spellEnd"/>
      <w:r>
        <w:t xml:space="preserve">, and A. S. </w:t>
      </w:r>
      <w:proofErr w:type="spellStart"/>
      <w:r>
        <w:t>Gasyuk</w:t>
      </w:r>
      <w:proofErr w:type="spellEnd"/>
      <w:r>
        <w:t xml:space="preserve">, “Justification of Safe Operation of Rolling Stock by the Lifetime of Its Bearing Structures,” </w:t>
      </w:r>
      <w:r w:rsidRPr="00075EA6">
        <w:t>in</w:t>
      </w:r>
      <w:r>
        <w:t xml:space="preserve"> </w:t>
      </w:r>
      <w:r w:rsidRPr="004D7AE2">
        <w:rPr>
          <w:i/>
          <w:iCs/>
        </w:rPr>
        <w:t xml:space="preserve">International Science and Technology Conference </w:t>
      </w:r>
      <w:r w:rsidRPr="004D7AE2">
        <w:t>(</w:t>
      </w:r>
      <w:proofErr w:type="spellStart"/>
      <w:r w:rsidRPr="004D7AE2">
        <w:t>FarEastСon</w:t>
      </w:r>
      <w:proofErr w:type="spellEnd"/>
      <w:r w:rsidRPr="004D7AE2">
        <w:t xml:space="preserve"> 2020)</w:t>
      </w:r>
      <w:r>
        <w:t xml:space="preserve">, </w:t>
      </w:r>
      <w:r w:rsidRPr="004D7AE2">
        <w:t>IOP Conf. Series: Materials Science and Engineering</w:t>
      </w:r>
      <w:r>
        <w:t xml:space="preserve"> 1079, </w:t>
      </w:r>
      <w:r w:rsidRPr="00075EA6">
        <w:t xml:space="preserve">edited by </w:t>
      </w:r>
      <w:r w:rsidRPr="005271EE">
        <w:t xml:space="preserve">D. </w:t>
      </w:r>
      <w:r>
        <w:t>Solovev</w:t>
      </w:r>
      <w:r w:rsidRPr="005271EE">
        <w:t xml:space="preserve"> </w:t>
      </w:r>
      <w:r>
        <w:t>(</w:t>
      </w:r>
      <w:r w:rsidRPr="004D7AE2">
        <w:t>IOP Publishing</w:t>
      </w:r>
      <w:r w:rsidRPr="003A72DB">
        <w:t xml:space="preserve">, Bristol, </w:t>
      </w:r>
      <w:r>
        <w:t xml:space="preserve">UK, 2021), </w:t>
      </w:r>
      <w:r w:rsidRPr="00075EA6">
        <w:t>p.</w:t>
      </w:r>
      <w:r>
        <w:t xml:space="preserve"> 052089.</w:t>
      </w:r>
    </w:p>
    <w:p w14:paraId="630F7982" w14:textId="77777777" w:rsidR="003A72DB" w:rsidRDefault="003A72DB" w:rsidP="00251D5C">
      <w:pPr>
        <w:pStyle w:val="Reference"/>
        <w:ind w:left="425" w:hanging="425"/>
      </w:pPr>
      <w:r>
        <w:t xml:space="preserve">J. Fish and T. </w:t>
      </w:r>
      <w:proofErr w:type="spellStart"/>
      <w:r>
        <w:t>Belytschko</w:t>
      </w:r>
      <w:proofErr w:type="spellEnd"/>
      <w:r>
        <w:t xml:space="preserve">, </w:t>
      </w:r>
      <w:r w:rsidRPr="002B6B70">
        <w:rPr>
          <w:i/>
          <w:iCs/>
        </w:rPr>
        <w:t>A First Course in Finite Elements</w:t>
      </w:r>
      <w:r>
        <w:t xml:space="preserve"> (Wiley, New York, 2007).</w:t>
      </w:r>
    </w:p>
    <w:p w14:paraId="3F43D964" w14:textId="77777777" w:rsidR="003A72DB" w:rsidRDefault="003A72DB" w:rsidP="00251D5C">
      <w:pPr>
        <w:pStyle w:val="Reference"/>
        <w:ind w:left="425" w:hanging="425"/>
      </w:pPr>
      <w:r>
        <w:t xml:space="preserve">Y. Abdulaziz, K. Otabek, Z. Nuriddin, J. Shukhrat, and A. Sherzamin, </w:t>
      </w:r>
      <w:r w:rsidRPr="002B6B70">
        <w:rPr>
          <w:i/>
          <w:iCs/>
        </w:rPr>
        <w:t>Universum: Tech. Sci</w:t>
      </w:r>
      <w:r>
        <w:t xml:space="preserve">. </w:t>
      </w:r>
      <w:r w:rsidRPr="002B6B70">
        <w:rPr>
          <w:b/>
          <w:bCs/>
        </w:rPr>
        <w:t>3(108)</w:t>
      </w:r>
      <w:r>
        <w:t>, 5-9 (2023).</w:t>
      </w:r>
    </w:p>
    <w:p w14:paraId="77064ABF" w14:textId="25315F1A" w:rsidR="003A72DB" w:rsidRDefault="003A72DB" w:rsidP="00251D5C">
      <w:pPr>
        <w:pStyle w:val="Reference"/>
        <w:ind w:left="425" w:hanging="425"/>
      </w:pPr>
      <w:r>
        <w:t xml:space="preserve">M. Kassner, </w:t>
      </w:r>
      <w:r w:rsidRPr="002B6B70">
        <w:rPr>
          <w:i/>
          <w:iCs/>
        </w:rPr>
        <w:t>Int. J. Fatigue</w:t>
      </w:r>
      <w:r>
        <w:t xml:space="preserve"> </w:t>
      </w:r>
      <w:r w:rsidRPr="002B6B70">
        <w:rPr>
          <w:b/>
          <w:bCs/>
        </w:rPr>
        <w:t>34</w:t>
      </w:r>
      <w:r>
        <w:t>, 103-111 (2012).</w:t>
      </w:r>
    </w:p>
    <w:p w14:paraId="25AE5F06" w14:textId="7306EAD9" w:rsidR="003A72DB" w:rsidRDefault="003A72DB" w:rsidP="00251D5C">
      <w:pPr>
        <w:pStyle w:val="Reference"/>
        <w:ind w:left="425" w:hanging="425"/>
      </w:pPr>
      <w:r>
        <w:t xml:space="preserve">D. Chen, S. Sun, and Q. Li, </w:t>
      </w:r>
      <w:r w:rsidRPr="002B6B70">
        <w:rPr>
          <w:i/>
          <w:iCs/>
        </w:rPr>
        <w:t>Mech. Eng. Sci</w:t>
      </w:r>
      <w:r>
        <w:t xml:space="preserve">. </w:t>
      </w:r>
      <w:r w:rsidRPr="002B6B70">
        <w:rPr>
          <w:b/>
          <w:bCs/>
        </w:rPr>
        <w:t>1</w:t>
      </w:r>
      <w:r>
        <w:rPr>
          <w:b/>
          <w:bCs/>
        </w:rPr>
        <w:t>(1)</w:t>
      </w:r>
      <w:r>
        <w:t>, 52-62 (2019).</w:t>
      </w:r>
    </w:p>
    <w:p w14:paraId="55E8EC5D" w14:textId="77777777" w:rsidR="00D919EB" w:rsidRDefault="00D919EB" w:rsidP="00251D5C">
      <w:pPr>
        <w:pStyle w:val="Reference"/>
        <w:ind w:left="425" w:hanging="425"/>
      </w:pPr>
      <w:r>
        <w:t>A. Yusufov, O. Khamidov, N. Zayniddinov, and S. Abdurasulov, “</w:t>
      </w:r>
      <w:r w:rsidRPr="00D919EB">
        <w:t>Prediction of the stress - strain state of the bogie frames of shunting locomotives using the finite element method</w:t>
      </w:r>
      <w:r>
        <w:t xml:space="preserve">,” </w:t>
      </w:r>
      <w:r w:rsidRPr="00075EA6">
        <w:t>in</w:t>
      </w:r>
      <w:r>
        <w:t xml:space="preserve"> </w:t>
      </w:r>
      <w:r w:rsidRPr="00AE5A07">
        <w:rPr>
          <w:i/>
          <w:iCs/>
        </w:rPr>
        <w:t>Construction Mechanics, Hydraulics and Water Resources Engineering</w:t>
      </w:r>
      <w:r w:rsidRPr="00AE5A07">
        <w:t xml:space="preserve"> </w:t>
      </w:r>
      <w:r w:rsidRPr="00DD699D">
        <w:t>(CONMECHYDRO - 2023)</w:t>
      </w:r>
      <w:r>
        <w:t xml:space="preserve">, </w:t>
      </w:r>
      <w:r w:rsidRPr="00DD699D">
        <w:t>E3S Web of Conferences</w:t>
      </w:r>
      <w:r>
        <w:t xml:space="preserve"> </w:t>
      </w:r>
      <w:r w:rsidRPr="00DD699D">
        <w:t>401</w:t>
      </w:r>
      <w:r>
        <w:t xml:space="preserve">, </w:t>
      </w:r>
      <w:r w:rsidRPr="00075EA6">
        <w:t xml:space="preserve">edited by </w:t>
      </w:r>
      <w:r w:rsidRPr="005271EE">
        <w:t xml:space="preserve">D. Bazarov </w:t>
      </w:r>
      <w:r>
        <w:t>(</w:t>
      </w:r>
      <w:r w:rsidRPr="005271EE">
        <w:t>EDP Sciences</w:t>
      </w:r>
      <w:r>
        <w:t xml:space="preserve">, Les Ulis, France, 2023), </w:t>
      </w:r>
      <w:r w:rsidRPr="00075EA6">
        <w:t>p.</w:t>
      </w:r>
      <w:r>
        <w:t xml:space="preserve"> 03041.</w:t>
      </w:r>
    </w:p>
    <w:p w14:paraId="45D57B22" w14:textId="77777777" w:rsidR="00D919EB" w:rsidRDefault="00D919EB" w:rsidP="00251D5C">
      <w:pPr>
        <w:pStyle w:val="Reference"/>
        <w:ind w:left="425" w:hanging="425"/>
      </w:pPr>
      <w:r>
        <w:t xml:space="preserve">O. Khamidov, A. Yusufov, S. Jamilov, and S. </w:t>
      </w:r>
      <w:proofErr w:type="spellStart"/>
      <w:r>
        <w:t>Kudratov</w:t>
      </w:r>
      <w:proofErr w:type="spellEnd"/>
      <w:r>
        <w:t xml:space="preserve">, “Remaining life of main frame and extension of service life of shunting Locomotives on railways of Republic of Uzbekistan,” </w:t>
      </w:r>
      <w:r w:rsidRPr="00075EA6">
        <w:t>in</w:t>
      </w:r>
      <w:r>
        <w:t xml:space="preserve"> </w:t>
      </w:r>
      <w:r w:rsidRPr="00AE5A07">
        <w:rPr>
          <w:i/>
          <w:iCs/>
        </w:rPr>
        <w:t>Construction Mechanics, Hydraulics and Water Resources Engineering</w:t>
      </w:r>
      <w:r w:rsidRPr="00AE5A07">
        <w:t xml:space="preserve"> </w:t>
      </w:r>
      <w:r w:rsidRPr="00DD699D">
        <w:t>(CONMECHYDRO - 202</w:t>
      </w:r>
      <w:r>
        <w:t>2</w:t>
      </w:r>
      <w:r w:rsidRPr="00DD699D">
        <w:t>)</w:t>
      </w:r>
      <w:r>
        <w:t xml:space="preserve">, </w:t>
      </w:r>
      <w:r w:rsidRPr="00DD699D">
        <w:t>E3S Web of Conferences</w:t>
      </w:r>
      <w:r>
        <w:t xml:space="preserve"> 365, </w:t>
      </w:r>
      <w:r w:rsidRPr="00075EA6">
        <w:t xml:space="preserve">edited by </w:t>
      </w:r>
      <w:r w:rsidRPr="005271EE">
        <w:t xml:space="preserve">D. Bazarov </w:t>
      </w:r>
      <w:r>
        <w:t>(</w:t>
      </w:r>
      <w:r w:rsidRPr="005271EE">
        <w:t>EDP Sciences</w:t>
      </w:r>
      <w:r>
        <w:t xml:space="preserve">, Les Ulis, France, 2023), </w:t>
      </w:r>
      <w:r w:rsidRPr="00075EA6">
        <w:t>p.</w:t>
      </w:r>
      <w:r>
        <w:t xml:space="preserve"> 05008.</w:t>
      </w:r>
    </w:p>
    <w:p w14:paraId="60660B89" w14:textId="6607FAD8" w:rsidR="00D919EB" w:rsidRDefault="00637363" w:rsidP="00251D5C">
      <w:pPr>
        <w:pStyle w:val="Reference"/>
        <w:ind w:left="425" w:hanging="425"/>
      </w:pPr>
      <w:r>
        <w:t xml:space="preserve">A. V. Grishchenko, A. M. Yusufov, and D. N. </w:t>
      </w:r>
      <w:proofErr w:type="spellStart"/>
      <w:r>
        <w:t>Kurilkin</w:t>
      </w:r>
      <w:proofErr w:type="spellEnd"/>
      <w:r>
        <w:t xml:space="preserve">, “Forecasting the residual service life of the main frame and extending the service life of shunting locomotives JSC “UTY”,” </w:t>
      </w:r>
      <w:r w:rsidRPr="00075EA6">
        <w:t>in</w:t>
      </w:r>
      <w:r>
        <w:t xml:space="preserve"> </w:t>
      </w:r>
      <w:r w:rsidRPr="00D919EB">
        <w:rPr>
          <w:i/>
          <w:iCs/>
        </w:rPr>
        <w:t xml:space="preserve">International Scientific Conference on Biotechnology and Food Technology </w:t>
      </w:r>
      <w:r w:rsidRPr="00D919EB">
        <w:t>(BFT-2023)</w:t>
      </w:r>
      <w:r>
        <w:t xml:space="preserve">, </w:t>
      </w:r>
      <w:r w:rsidRPr="00DD699D">
        <w:t>E3S Web of Conferences</w:t>
      </w:r>
      <w:r>
        <w:t xml:space="preserve"> 460, </w:t>
      </w:r>
      <w:r w:rsidRPr="00075EA6">
        <w:t xml:space="preserve">edited by </w:t>
      </w:r>
      <w:r w:rsidRPr="00D919EB">
        <w:t xml:space="preserve">M. </w:t>
      </w:r>
      <w:proofErr w:type="spellStart"/>
      <w:r w:rsidRPr="00D919EB">
        <w:t>Pushkarev</w:t>
      </w:r>
      <w:proofErr w:type="spellEnd"/>
      <w:r w:rsidRPr="005271EE">
        <w:t xml:space="preserve"> </w:t>
      </w:r>
      <w:r>
        <w:t>(</w:t>
      </w:r>
      <w:r w:rsidRPr="005271EE">
        <w:t>EDP Sciences</w:t>
      </w:r>
      <w:r>
        <w:t xml:space="preserve">, Les Ulis, France, 2023), </w:t>
      </w:r>
      <w:r w:rsidRPr="00075EA6">
        <w:t>p.</w:t>
      </w:r>
      <w:r>
        <w:t xml:space="preserve"> 06032.</w:t>
      </w:r>
    </w:p>
    <w:p w14:paraId="40231D0B" w14:textId="77777777" w:rsidR="0034076C" w:rsidRDefault="0034076C" w:rsidP="00251D5C">
      <w:pPr>
        <w:pStyle w:val="Reference"/>
        <w:ind w:left="425" w:hanging="425"/>
      </w:pPr>
      <w:r>
        <w:t xml:space="preserve">O. Fomin, J. </w:t>
      </w:r>
      <w:proofErr w:type="spellStart"/>
      <w:r>
        <w:t>Gerlici</w:t>
      </w:r>
      <w:proofErr w:type="spellEnd"/>
      <w:r>
        <w:t xml:space="preserve">, A. </w:t>
      </w:r>
      <w:proofErr w:type="spellStart"/>
      <w:r>
        <w:t>Lovska</w:t>
      </w:r>
      <w:proofErr w:type="spellEnd"/>
      <w:r>
        <w:t xml:space="preserve">, and K. Kravchenko, </w:t>
      </w:r>
      <w:proofErr w:type="spellStart"/>
      <w:r w:rsidRPr="002B6B70">
        <w:rPr>
          <w:i/>
          <w:iCs/>
        </w:rPr>
        <w:t>Commun</w:t>
      </w:r>
      <w:proofErr w:type="spellEnd"/>
      <w:r>
        <w:t xml:space="preserve">. </w:t>
      </w:r>
      <w:r w:rsidRPr="002B6B70">
        <w:rPr>
          <w:b/>
          <w:bCs/>
        </w:rPr>
        <w:t>24</w:t>
      </w:r>
      <w:r>
        <w:rPr>
          <w:b/>
          <w:bCs/>
        </w:rPr>
        <w:t>(3)</w:t>
      </w:r>
      <w:r>
        <w:t>, B219-B227 (2022).</w:t>
      </w:r>
    </w:p>
    <w:p w14:paraId="401222CA" w14:textId="77777777" w:rsidR="003C288E" w:rsidRDefault="003C288E" w:rsidP="00251D5C">
      <w:pPr>
        <w:pStyle w:val="Reference"/>
        <w:ind w:left="425" w:hanging="425"/>
      </w:pPr>
      <w:r>
        <w:t xml:space="preserve">O. </w:t>
      </w:r>
      <w:proofErr w:type="spellStart"/>
      <w:r>
        <w:t>Koshel</w:t>
      </w:r>
      <w:proofErr w:type="spellEnd"/>
      <w:r>
        <w:t xml:space="preserve">, S. </w:t>
      </w:r>
      <w:proofErr w:type="spellStart"/>
      <w:r>
        <w:t>Sapronova</w:t>
      </w:r>
      <w:proofErr w:type="spellEnd"/>
      <w:r>
        <w:t xml:space="preserve">, and S. Kara, </w:t>
      </w:r>
      <w:r w:rsidRPr="002B6B70">
        <w:rPr>
          <w:i/>
          <w:iCs/>
        </w:rPr>
        <w:t>East. -Eur. J. Enterp. Technol</w:t>
      </w:r>
      <w:r>
        <w:t xml:space="preserve">. </w:t>
      </w:r>
      <w:r w:rsidRPr="003C288E">
        <w:rPr>
          <w:b/>
          <w:bCs/>
        </w:rPr>
        <w:t xml:space="preserve">4(7) </w:t>
      </w:r>
      <w:r w:rsidRPr="00011572">
        <w:t>(124)</w:t>
      </w:r>
      <w:r>
        <w:t>, 30-42 (2023).</w:t>
      </w:r>
    </w:p>
    <w:p w14:paraId="377A6D11" w14:textId="77777777" w:rsidR="00656C67" w:rsidRDefault="00656C67" w:rsidP="00251D5C">
      <w:pPr>
        <w:pStyle w:val="Reference"/>
        <w:ind w:left="425" w:hanging="425"/>
      </w:pPr>
      <w:r>
        <w:t xml:space="preserve">W. J. Seo, M. H. Hur, J. S. Kwon, and K. H. Moon, </w:t>
      </w:r>
      <w:r w:rsidRPr="002B6B70">
        <w:rPr>
          <w:i/>
          <w:iCs/>
        </w:rPr>
        <w:t>Adv. Mech. Eng</w:t>
      </w:r>
      <w:r>
        <w:t xml:space="preserve">. </w:t>
      </w:r>
      <w:r w:rsidRPr="002B6B70">
        <w:rPr>
          <w:b/>
          <w:bCs/>
        </w:rPr>
        <w:t>15</w:t>
      </w:r>
      <w:r>
        <w:rPr>
          <w:b/>
          <w:bCs/>
        </w:rPr>
        <w:t>(11)</w:t>
      </w:r>
      <w:r>
        <w:t>, (2023).</w:t>
      </w:r>
    </w:p>
    <w:p w14:paraId="2CCFEFFF" w14:textId="6D19FC89" w:rsidR="00656C67" w:rsidRDefault="00656C67" w:rsidP="00251D5C">
      <w:pPr>
        <w:pStyle w:val="Reference"/>
        <w:ind w:left="425" w:hanging="425"/>
      </w:pPr>
      <w:r>
        <w:t xml:space="preserve">Z. </w:t>
      </w:r>
      <w:proofErr w:type="spellStart"/>
      <w:r>
        <w:t>Mukhamedova</w:t>
      </w:r>
      <w:proofErr w:type="spellEnd"/>
      <w:r>
        <w:t xml:space="preserve">, S. </w:t>
      </w:r>
      <w:proofErr w:type="spellStart"/>
      <w:r>
        <w:t>Fayzibayev</w:t>
      </w:r>
      <w:proofErr w:type="spellEnd"/>
      <w:r>
        <w:t xml:space="preserve">, D. </w:t>
      </w:r>
      <w:proofErr w:type="spellStart"/>
      <w:r>
        <w:t>Mukhamedova</w:t>
      </w:r>
      <w:proofErr w:type="spellEnd"/>
      <w:r>
        <w:t xml:space="preserve">, A. M. </w:t>
      </w:r>
      <w:proofErr w:type="spellStart"/>
      <w:r>
        <w:t>Batirbekova</w:t>
      </w:r>
      <w:proofErr w:type="spellEnd"/>
      <w:r>
        <w:t xml:space="preserve">, K. </w:t>
      </w:r>
      <w:proofErr w:type="spellStart"/>
      <w:r>
        <w:t>Jurayeva</w:t>
      </w:r>
      <w:proofErr w:type="spellEnd"/>
      <w:r>
        <w:t xml:space="preserve">, G. Ibragimova, and Z. </w:t>
      </w:r>
      <w:proofErr w:type="spellStart"/>
      <w:r>
        <w:t>Ergasheva</w:t>
      </w:r>
      <w:proofErr w:type="spellEnd"/>
      <w:r>
        <w:t xml:space="preserve">, </w:t>
      </w:r>
      <w:r w:rsidRPr="002B6B70">
        <w:rPr>
          <w:i/>
          <w:iCs/>
        </w:rPr>
        <w:t>Sci. Rep</w:t>
      </w:r>
      <w:r>
        <w:t xml:space="preserve">. </w:t>
      </w:r>
      <w:r w:rsidRPr="002B6B70">
        <w:rPr>
          <w:b/>
          <w:bCs/>
        </w:rPr>
        <w:t>14</w:t>
      </w:r>
      <w:r>
        <w:rPr>
          <w:b/>
          <w:bCs/>
        </w:rPr>
        <w:t>(1)</w:t>
      </w:r>
      <w:r>
        <w:t>, 19205 (2024).</w:t>
      </w:r>
    </w:p>
    <w:p w14:paraId="7704E6D2" w14:textId="77777777" w:rsidR="002A6889" w:rsidRDefault="002A6889" w:rsidP="00251D5C">
      <w:pPr>
        <w:pStyle w:val="Reference"/>
        <w:ind w:left="425" w:hanging="425"/>
      </w:pPr>
      <w:r w:rsidRPr="00D0269B">
        <w:t xml:space="preserve">C. Miao, H. Wang, and Y. Song, “The correlation between static strength and fatigue strength test and simulation,” in </w:t>
      </w:r>
      <w:r w:rsidRPr="00D0269B">
        <w:rPr>
          <w:i/>
          <w:iCs/>
        </w:rPr>
        <w:t xml:space="preserve">International Conference on Mechanics, Mathematics and Applied Physics </w:t>
      </w:r>
      <w:r w:rsidRPr="00D0269B">
        <w:t>(ICMMAP 2023), IOP Conf. Series: Journal of Physics: Conference Series 2660, edited by H. Sheng (IOP Publishing, Bristol, UK, 2023), p. 012042.</w:t>
      </w:r>
    </w:p>
    <w:p w14:paraId="1F7B6369" w14:textId="77777777" w:rsidR="00590BDE" w:rsidRDefault="00590BDE" w:rsidP="00251D5C">
      <w:pPr>
        <w:pStyle w:val="Reference"/>
        <w:ind w:left="425" w:hanging="425"/>
      </w:pPr>
      <w:r>
        <w:t xml:space="preserve">O. M. Bondarev, V. L. Gorobets, and S. V. </w:t>
      </w:r>
      <w:proofErr w:type="spellStart"/>
      <w:r>
        <w:t>Myamlin</w:t>
      </w:r>
      <w:proofErr w:type="spellEnd"/>
      <w:r>
        <w:t xml:space="preserve">, </w:t>
      </w:r>
      <w:r w:rsidRPr="002B6B70">
        <w:rPr>
          <w:i/>
          <w:iCs/>
        </w:rPr>
        <w:t>Sci. Transp. Prog</w:t>
      </w:r>
      <w:r>
        <w:t xml:space="preserve">. </w:t>
      </w:r>
      <w:r w:rsidRPr="002B6B70">
        <w:rPr>
          <w:b/>
          <w:bCs/>
        </w:rPr>
        <w:t>2(50)</w:t>
      </w:r>
      <w:r>
        <w:t>, 130-151 (2014).</w:t>
      </w:r>
    </w:p>
    <w:p w14:paraId="49D1875D" w14:textId="38F3D4AF" w:rsidR="00590BDE" w:rsidRDefault="00590BDE" w:rsidP="00251D5C">
      <w:pPr>
        <w:pStyle w:val="Reference"/>
        <w:ind w:left="425" w:hanging="425"/>
      </w:pPr>
      <w:r>
        <w:t xml:space="preserve">O. M. Bondarev, Y. M. Dzichkovskyy, O. Y. </w:t>
      </w:r>
      <w:proofErr w:type="spellStart"/>
      <w:r>
        <w:t>Kryvchykov</w:t>
      </w:r>
      <w:proofErr w:type="spellEnd"/>
      <w:r>
        <w:t xml:space="preserve">, D. O. Yagoda, and V. S. </w:t>
      </w:r>
      <w:proofErr w:type="spellStart"/>
      <w:r>
        <w:t>Bondaryeva</w:t>
      </w:r>
      <w:proofErr w:type="spellEnd"/>
      <w:r>
        <w:t xml:space="preserve">, </w:t>
      </w:r>
      <w:r w:rsidRPr="002B6B70">
        <w:rPr>
          <w:i/>
          <w:iCs/>
        </w:rPr>
        <w:t>Sci. Transp. Prog</w:t>
      </w:r>
      <w:r>
        <w:t xml:space="preserve">. </w:t>
      </w:r>
      <w:r w:rsidRPr="002B6B70">
        <w:rPr>
          <w:b/>
          <w:bCs/>
        </w:rPr>
        <w:t>40</w:t>
      </w:r>
      <w:r>
        <w:t xml:space="preserve">, 17-27 (2012). </w:t>
      </w:r>
    </w:p>
    <w:p w14:paraId="5E004F54" w14:textId="77777777" w:rsidR="00C30D6D" w:rsidRDefault="00C30D6D" w:rsidP="00251D5C">
      <w:pPr>
        <w:pStyle w:val="Reference"/>
        <w:ind w:left="425" w:hanging="425"/>
      </w:pPr>
      <w:r>
        <w:t xml:space="preserve">D. </w:t>
      </w:r>
      <w:proofErr w:type="spellStart"/>
      <w:r>
        <w:t>Bannikov</w:t>
      </w:r>
      <w:proofErr w:type="spellEnd"/>
      <w:r>
        <w:t xml:space="preserve">, A. Radkevich, and A. Muntian, “Modernization of the buffer beam of PE2U traction unit electric locomotive,” </w:t>
      </w:r>
      <w:r w:rsidRPr="00075EA6">
        <w:t>in</w:t>
      </w:r>
      <w:r>
        <w:t xml:space="preserve"> </w:t>
      </w:r>
      <w:r w:rsidRPr="00C30D6D">
        <w:rPr>
          <w:i/>
          <w:iCs/>
        </w:rPr>
        <w:t xml:space="preserve">Problems of the railway transport mechanics </w:t>
      </w:r>
      <w:r w:rsidRPr="00C30D6D">
        <w:t>(PRTM 2020)</w:t>
      </w:r>
      <w:r>
        <w:t xml:space="preserve">, </w:t>
      </w:r>
      <w:r w:rsidRPr="004D7AE2">
        <w:t>IOP Conf. Series: Materials Science and Engineering</w:t>
      </w:r>
      <w:r>
        <w:t xml:space="preserve"> 985, </w:t>
      </w:r>
      <w:r w:rsidRPr="00075EA6">
        <w:t xml:space="preserve">edited by </w:t>
      </w:r>
      <w:r w:rsidRPr="00C30D6D">
        <w:t xml:space="preserve">М. </w:t>
      </w:r>
      <w:proofErr w:type="spellStart"/>
      <w:r w:rsidRPr="00C30D6D">
        <w:t>Jacyna</w:t>
      </w:r>
      <w:proofErr w:type="spellEnd"/>
      <w:r w:rsidRPr="00C30D6D">
        <w:t xml:space="preserve"> et al.</w:t>
      </w:r>
      <w:r w:rsidRPr="00C30D6D">
        <w:rPr>
          <w:color w:val="FF0000"/>
        </w:rPr>
        <w:t xml:space="preserve"> </w:t>
      </w:r>
      <w:r>
        <w:t>(</w:t>
      </w:r>
      <w:r w:rsidRPr="004D7AE2">
        <w:t>IOP Publishing</w:t>
      </w:r>
      <w:r w:rsidRPr="003A72DB">
        <w:t xml:space="preserve">, Bristol, </w:t>
      </w:r>
      <w:r>
        <w:t xml:space="preserve">UK, </w:t>
      </w:r>
      <w:r w:rsidRPr="00C30D6D">
        <w:t>2020</w:t>
      </w:r>
      <w:r>
        <w:t xml:space="preserve">), </w:t>
      </w:r>
      <w:r w:rsidRPr="00075EA6">
        <w:t>p.</w:t>
      </w:r>
      <w:r>
        <w:t xml:space="preserve"> 012035.</w:t>
      </w:r>
    </w:p>
    <w:p w14:paraId="44FB529B" w14:textId="77777777" w:rsidR="00C30D6D" w:rsidRDefault="00C30D6D" w:rsidP="00251D5C">
      <w:pPr>
        <w:pStyle w:val="Reference"/>
        <w:ind w:left="425" w:hanging="425"/>
      </w:pPr>
      <w:r>
        <w:t xml:space="preserve">S. Abdurasulov, N. Zayniddinov, and A. Yusufov, </w:t>
      </w:r>
      <w:r w:rsidRPr="002B6B70">
        <w:rPr>
          <w:i/>
          <w:iCs/>
        </w:rPr>
        <w:t>Acta Turin Polytech Univ. Tashkent</w:t>
      </w:r>
      <w:r>
        <w:t xml:space="preserve"> </w:t>
      </w:r>
      <w:r w:rsidRPr="002B6B70">
        <w:rPr>
          <w:b/>
          <w:bCs/>
        </w:rPr>
        <w:t>13</w:t>
      </w:r>
      <w:r>
        <w:rPr>
          <w:b/>
          <w:bCs/>
        </w:rPr>
        <w:t>(4)</w:t>
      </w:r>
      <w:r>
        <w:t>, 44-48 (2023).</w:t>
      </w:r>
    </w:p>
    <w:p w14:paraId="2A2FB519" w14:textId="77777777" w:rsidR="00D944C8" w:rsidRPr="00BF6CFF" w:rsidRDefault="00D944C8" w:rsidP="00251D5C">
      <w:pPr>
        <w:pStyle w:val="Reference"/>
        <w:ind w:left="425" w:hanging="425"/>
      </w:pPr>
      <w:r>
        <w:t xml:space="preserve">S. Abdurasulov, N. Zayniddinov, and K. </w:t>
      </w:r>
      <w:proofErr w:type="spellStart"/>
      <w:r>
        <w:t>Kosimov</w:t>
      </w:r>
      <w:proofErr w:type="spellEnd"/>
      <w:r>
        <w:t xml:space="preserve">, </w:t>
      </w:r>
      <w:r w:rsidRPr="002B6B70">
        <w:rPr>
          <w:i/>
          <w:iCs/>
        </w:rPr>
        <w:t>Int. Sci. J. Engineer</w:t>
      </w:r>
      <w:r>
        <w:t xml:space="preserve"> </w:t>
      </w:r>
      <w:r w:rsidRPr="002B6B70">
        <w:rPr>
          <w:b/>
          <w:bCs/>
        </w:rPr>
        <w:t>3</w:t>
      </w:r>
      <w:r>
        <w:rPr>
          <w:b/>
          <w:bCs/>
        </w:rPr>
        <w:t>(1)</w:t>
      </w:r>
      <w:r>
        <w:t>, 14-18 (2025).</w:t>
      </w:r>
    </w:p>
    <w:sectPr w:rsidR="00D944C8" w:rsidRPr="00BF6CFF" w:rsidSect="00CC3CDC">
      <w:pgSz w:w="12240" w:h="15840"/>
      <w:pgMar w:top="1134" w:right="850" w:bottom="1134" w:left="1701"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3"/>
  </w:num>
  <w:num w:numId="3">
    <w:abstractNumId w:val="13"/>
  </w:num>
  <w:num w:numId="4">
    <w:abstractNumId w:val="7"/>
  </w:num>
  <w:num w:numId="5">
    <w:abstractNumId w:val="11"/>
  </w:num>
  <w:num w:numId="6">
    <w:abstractNumId w:val="4"/>
  </w:num>
  <w:num w:numId="7">
    <w:abstractNumId w:val="6"/>
  </w:num>
  <w:num w:numId="8">
    <w:abstractNumId w:val="1"/>
  </w:num>
  <w:num w:numId="9">
    <w:abstractNumId w:val="15"/>
  </w:num>
  <w:num w:numId="10">
    <w:abstractNumId w:val="9"/>
  </w:num>
  <w:num w:numId="11">
    <w:abstractNumId w:val="14"/>
  </w:num>
  <w:num w:numId="12">
    <w:abstractNumId w:val="10"/>
  </w:num>
  <w:num w:numId="13">
    <w:abstractNumId w:val="5"/>
  </w:num>
  <w:num w:numId="14">
    <w:abstractNumId w:val="15"/>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50D8"/>
    <w:rsid w:val="00011572"/>
    <w:rsid w:val="00013DE6"/>
    <w:rsid w:val="00014140"/>
    <w:rsid w:val="00027428"/>
    <w:rsid w:val="00031EC9"/>
    <w:rsid w:val="00044944"/>
    <w:rsid w:val="00066FED"/>
    <w:rsid w:val="00075EA6"/>
    <w:rsid w:val="0007709F"/>
    <w:rsid w:val="00083EC4"/>
    <w:rsid w:val="0008466F"/>
    <w:rsid w:val="00086F62"/>
    <w:rsid w:val="00090674"/>
    <w:rsid w:val="0009320B"/>
    <w:rsid w:val="00096AE0"/>
    <w:rsid w:val="000A7BF0"/>
    <w:rsid w:val="000B1B74"/>
    <w:rsid w:val="000B3A2D"/>
    <w:rsid w:val="000B49C0"/>
    <w:rsid w:val="000B6DF9"/>
    <w:rsid w:val="000B77EA"/>
    <w:rsid w:val="000C605C"/>
    <w:rsid w:val="000D5F71"/>
    <w:rsid w:val="000E382F"/>
    <w:rsid w:val="000E75CD"/>
    <w:rsid w:val="000F3013"/>
    <w:rsid w:val="001036BA"/>
    <w:rsid w:val="001146DC"/>
    <w:rsid w:val="00114AB1"/>
    <w:rsid w:val="001230FF"/>
    <w:rsid w:val="00130BD7"/>
    <w:rsid w:val="00155B67"/>
    <w:rsid w:val="001562AF"/>
    <w:rsid w:val="00161A5B"/>
    <w:rsid w:val="001635C4"/>
    <w:rsid w:val="0016383D"/>
    <w:rsid w:val="0016385D"/>
    <w:rsid w:val="0016782F"/>
    <w:rsid w:val="001937E9"/>
    <w:rsid w:val="001964E5"/>
    <w:rsid w:val="001A5F57"/>
    <w:rsid w:val="001B102F"/>
    <w:rsid w:val="001B263B"/>
    <w:rsid w:val="001B476A"/>
    <w:rsid w:val="001C764F"/>
    <w:rsid w:val="001C7BB3"/>
    <w:rsid w:val="001D469C"/>
    <w:rsid w:val="001D7A0E"/>
    <w:rsid w:val="001E74B5"/>
    <w:rsid w:val="0021619E"/>
    <w:rsid w:val="0023171B"/>
    <w:rsid w:val="00236BFC"/>
    <w:rsid w:val="00237437"/>
    <w:rsid w:val="002458A7"/>
    <w:rsid w:val="002502FD"/>
    <w:rsid w:val="00251D5C"/>
    <w:rsid w:val="0025527B"/>
    <w:rsid w:val="0027428D"/>
    <w:rsid w:val="00274622"/>
    <w:rsid w:val="002831B7"/>
    <w:rsid w:val="00285D24"/>
    <w:rsid w:val="00290390"/>
    <w:rsid w:val="002915D3"/>
    <w:rsid w:val="002924DB"/>
    <w:rsid w:val="002941DA"/>
    <w:rsid w:val="002A6889"/>
    <w:rsid w:val="002B5648"/>
    <w:rsid w:val="002B6B70"/>
    <w:rsid w:val="002C0B10"/>
    <w:rsid w:val="002D5508"/>
    <w:rsid w:val="002D759F"/>
    <w:rsid w:val="002E3C35"/>
    <w:rsid w:val="002F5298"/>
    <w:rsid w:val="00326AE0"/>
    <w:rsid w:val="00337E4F"/>
    <w:rsid w:val="0034076C"/>
    <w:rsid w:val="00340C36"/>
    <w:rsid w:val="00346A9D"/>
    <w:rsid w:val="00364F14"/>
    <w:rsid w:val="0039376F"/>
    <w:rsid w:val="003969E0"/>
    <w:rsid w:val="003A287B"/>
    <w:rsid w:val="003A5C85"/>
    <w:rsid w:val="003A61B1"/>
    <w:rsid w:val="003A72DB"/>
    <w:rsid w:val="003B0050"/>
    <w:rsid w:val="003B62E1"/>
    <w:rsid w:val="003C288E"/>
    <w:rsid w:val="003C4567"/>
    <w:rsid w:val="003D1F5F"/>
    <w:rsid w:val="003D6312"/>
    <w:rsid w:val="003D6502"/>
    <w:rsid w:val="003E7C74"/>
    <w:rsid w:val="003F31C6"/>
    <w:rsid w:val="0040225B"/>
    <w:rsid w:val="00402DA2"/>
    <w:rsid w:val="00406C84"/>
    <w:rsid w:val="00425AC2"/>
    <w:rsid w:val="004409C0"/>
    <w:rsid w:val="0044771F"/>
    <w:rsid w:val="004B151D"/>
    <w:rsid w:val="004C0D58"/>
    <w:rsid w:val="004C7243"/>
    <w:rsid w:val="004D7AE2"/>
    <w:rsid w:val="004E21DE"/>
    <w:rsid w:val="004E3C57"/>
    <w:rsid w:val="004E3CB2"/>
    <w:rsid w:val="004F493A"/>
    <w:rsid w:val="00513C3B"/>
    <w:rsid w:val="00525813"/>
    <w:rsid w:val="005271EE"/>
    <w:rsid w:val="0053513F"/>
    <w:rsid w:val="005527CA"/>
    <w:rsid w:val="00563222"/>
    <w:rsid w:val="00574405"/>
    <w:rsid w:val="00577EAE"/>
    <w:rsid w:val="005854B0"/>
    <w:rsid w:val="00590BDE"/>
    <w:rsid w:val="005A0E21"/>
    <w:rsid w:val="005B3A34"/>
    <w:rsid w:val="005D49AF"/>
    <w:rsid w:val="005E415C"/>
    <w:rsid w:val="005E71ED"/>
    <w:rsid w:val="005E7946"/>
    <w:rsid w:val="005F7475"/>
    <w:rsid w:val="00611299"/>
    <w:rsid w:val="00613B4D"/>
    <w:rsid w:val="00615459"/>
    <w:rsid w:val="00616365"/>
    <w:rsid w:val="00616F3B"/>
    <w:rsid w:val="006249A7"/>
    <w:rsid w:val="00637363"/>
    <w:rsid w:val="0064225B"/>
    <w:rsid w:val="00656C67"/>
    <w:rsid w:val="00663E5F"/>
    <w:rsid w:val="006763F9"/>
    <w:rsid w:val="006949BC"/>
    <w:rsid w:val="006B1BB6"/>
    <w:rsid w:val="006D1229"/>
    <w:rsid w:val="006D372F"/>
    <w:rsid w:val="006D7A18"/>
    <w:rsid w:val="006E4474"/>
    <w:rsid w:val="006F272D"/>
    <w:rsid w:val="00701388"/>
    <w:rsid w:val="00723B7F"/>
    <w:rsid w:val="00725861"/>
    <w:rsid w:val="0073393A"/>
    <w:rsid w:val="0073539D"/>
    <w:rsid w:val="00744FD0"/>
    <w:rsid w:val="007663F4"/>
    <w:rsid w:val="00767B8A"/>
    <w:rsid w:val="00773148"/>
    <w:rsid w:val="00775481"/>
    <w:rsid w:val="00775F72"/>
    <w:rsid w:val="0077650B"/>
    <w:rsid w:val="007810C3"/>
    <w:rsid w:val="007A233B"/>
    <w:rsid w:val="007B4863"/>
    <w:rsid w:val="007C204D"/>
    <w:rsid w:val="007C65E6"/>
    <w:rsid w:val="007C75B1"/>
    <w:rsid w:val="007D406B"/>
    <w:rsid w:val="007D4407"/>
    <w:rsid w:val="007D7F8D"/>
    <w:rsid w:val="007E1CA3"/>
    <w:rsid w:val="007E5E70"/>
    <w:rsid w:val="007E758B"/>
    <w:rsid w:val="007F79F8"/>
    <w:rsid w:val="00812D62"/>
    <w:rsid w:val="00812F29"/>
    <w:rsid w:val="00821713"/>
    <w:rsid w:val="00827050"/>
    <w:rsid w:val="0083278B"/>
    <w:rsid w:val="00834538"/>
    <w:rsid w:val="0083640F"/>
    <w:rsid w:val="00850E89"/>
    <w:rsid w:val="00855ACC"/>
    <w:rsid w:val="008930E4"/>
    <w:rsid w:val="00893821"/>
    <w:rsid w:val="008A07C3"/>
    <w:rsid w:val="008A7B9C"/>
    <w:rsid w:val="008B39FA"/>
    <w:rsid w:val="008B4754"/>
    <w:rsid w:val="008D379F"/>
    <w:rsid w:val="008E3CDA"/>
    <w:rsid w:val="008E6A7A"/>
    <w:rsid w:val="008F1038"/>
    <w:rsid w:val="008F7046"/>
    <w:rsid w:val="008F7F36"/>
    <w:rsid w:val="009005FC"/>
    <w:rsid w:val="00907BE6"/>
    <w:rsid w:val="00922E5A"/>
    <w:rsid w:val="00925005"/>
    <w:rsid w:val="00932EF0"/>
    <w:rsid w:val="00943315"/>
    <w:rsid w:val="00946C27"/>
    <w:rsid w:val="009719D3"/>
    <w:rsid w:val="009A07BA"/>
    <w:rsid w:val="009A4C5B"/>
    <w:rsid w:val="009A4F3D"/>
    <w:rsid w:val="009B696B"/>
    <w:rsid w:val="009B7671"/>
    <w:rsid w:val="009D55DB"/>
    <w:rsid w:val="009D6072"/>
    <w:rsid w:val="009E5BA1"/>
    <w:rsid w:val="009F056E"/>
    <w:rsid w:val="009F0B64"/>
    <w:rsid w:val="009F2D4D"/>
    <w:rsid w:val="00A24F3D"/>
    <w:rsid w:val="00A26DCD"/>
    <w:rsid w:val="00A314BB"/>
    <w:rsid w:val="00A32B7D"/>
    <w:rsid w:val="00A360A0"/>
    <w:rsid w:val="00A5596B"/>
    <w:rsid w:val="00A646B3"/>
    <w:rsid w:val="00A6739B"/>
    <w:rsid w:val="00A90413"/>
    <w:rsid w:val="00AA728C"/>
    <w:rsid w:val="00AB0A9C"/>
    <w:rsid w:val="00AB7119"/>
    <w:rsid w:val="00AD5855"/>
    <w:rsid w:val="00AE5A07"/>
    <w:rsid w:val="00AE7500"/>
    <w:rsid w:val="00AE7F87"/>
    <w:rsid w:val="00AF3542"/>
    <w:rsid w:val="00AF580D"/>
    <w:rsid w:val="00AF5ABE"/>
    <w:rsid w:val="00B00415"/>
    <w:rsid w:val="00B03C2A"/>
    <w:rsid w:val="00B1000D"/>
    <w:rsid w:val="00B10134"/>
    <w:rsid w:val="00B16BFE"/>
    <w:rsid w:val="00B40809"/>
    <w:rsid w:val="00B45F72"/>
    <w:rsid w:val="00B500E5"/>
    <w:rsid w:val="00B96AA7"/>
    <w:rsid w:val="00BA39BB"/>
    <w:rsid w:val="00BA3B3D"/>
    <w:rsid w:val="00BB7EEA"/>
    <w:rsid w:val="00BD1909"/>
    <w:rsid w:val="00BE1B87"/>
    <w:rsid w:val="00BE2799"/>
    <w:rsid w:val="00BE2A5A"/>
    <w:rsid w:val="00BE5E16"/>
    <w:rsid w:val="00BE5FD1"/>
    <w:rsid w:val="00BF6CFF"/>
    <w:rsid w:val="00C06E05"/>
    <w:rsid w:val="00C14B14"/>
    <w:rsid w:val="00C17370"/>
    <w:rsid w:val="00C2054D"/>
    <w:rsid w:val="00C21ABC"/>
    <w:rsid w:val="00C252EB"/>
    <w:rsid w:val="00C26EC0"/>
    <w:rsid w:val="00C30D6D"/>
    <w:rsid w:val="00C44427"/>
    <w:rsid w:val="00C44AC6"/>
    <w:rsid w:val="00C56C77"/>
    <w:rsid w:val="00C84923"/>
    <w:rsid w:val="00CB7B3E"/>
    <w:rsid w:val="00CC3CDC"/>
    <w:rsid w:val="00CC5680"/>
    <w:rsid w:val="00CC739D"/>
    <w:rsid w:val="00CD6209"/>
    <w:rsid w:val="00D0269B"/>
    <w:rsid w:val="00D04468"/>
    <w:rsid w:val="00D30640"/>
    <w:rsid w:val="00D36257"/>
    <w:rsid w:val="00D36ABB"/>
    <w:rsid w:val="00D4687E"/>
    <w:rsid w:val="00D50E66"/>
    <w:rsid w:val="00D51675"/>
    <w:rsid w:val="00D53A12"/>
    <w:rsid w:val="00D60634"/>
    <w:rsid w:val="00D87E2A"/>
    <w:rsid w:val="00D919EB"/>
    <w:rsid w:val="00D944C8"/>
    <w:rsid w:val="00DA6E63"/>
    <w:rsid w:val="00DA736B"/>
    <w:rsid w:val="00DB0C43"/>
    <w:rsid w:val="00DD699D"/>
    <w:rsid w:val="00DE3354"/>
    <w:rsid w:val="00DF538A"/>
    <w:rsid w:val="00DF7DCD"/>
    <w:rsid w:val="00E12B77"/>
    <w:rsid w:val="00E314F5"/>
    <w:rsid w:val="00E50B7D"/>
    <w:rsid w:val="00E56428"/>
    <w:rsid w:val="00E7087B"/>
    <w:rsid w:val="00E82A8F"/>
    <w:rsid w:val="00E904A1"/>
    <w:rsid w:val="00E9438D"/>
    <w:rsid w:val="00E9469A"/>
    <w:rsid w:val="00EA4C6C"/>
    <w:rsid w:val="00EB2B47"/>
    <w:rsid w:val="00EB7D28"/>
    <w:rsid w:val="00EC0D0C"/>
    <w:rsid w:val="00EC3EB1"/>
    <w:rsid w:val="00ED25B7"/>
    <w:rsid w:val="00ED28AE"/>
    <w:rsid w:val="00ED4A2C"/>
    <w:rsid w:val="00EE3543"/>
    <w:rsid w:val="00EF6940"/>
    <w:rsid w:val="00F2044A"/>
    <w:rsid w:val="00F20BFC"/>
    <w:rsid w:val="00F24D5F"/>
    <w:rsid w:val="00F36D1C"/>
    <w:rsid w:val="00F41AD6"/>
    <w:rsid w:val="00F50F39"/>
    <w:rsid w:val="00F64FA1"/>
    <w:rsid w:val="00F726C3"/>
    <w:rsid w:val="00F820CA"/>
    <w:rsid w:val="00F8554C"/>
    <w:rsid w:val="00F955A6"/>
    <w:rsid w:val="00F95F82"/>
    <w:rsid w:val="00F96E43"/>
    <w:rsid w:val="00F97A90"/>
    <w:rsid w:val="00FC2F35"/>
    <w:rsid w:val="00FC3C52"/>
    <w:rsid w:val="00FC3FD7"/>
    <w:rsid w:val="00FC5602"/>
    <w:rsid w:val="00FC5BB3"/>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link w:val="10"/>
    <w:uiPriority w:val="9"/>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paragraph" w:styleId="4">
    <w:name w:val="heading 4"/>
    <w:basedOn w:val="a"/>
    <w:next w:val="a"/>
    <w:link w:val="40"/>
    <w:semiHidden/>
    <w:unhideWhenUsed/>
    <w:qFormat/>
    <w:rsid w:val="00D0269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semiHidden/>
    <w:unhideWhenUsed/>
    <w:qFormat/>
    <w:rsid w:val="003D6502"/>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uiPriority w:val="99"/>
    <w:rsid w:val="00114AB1"/>
    <w:rPr>
      <w:rFonts w:ascii="Tahoma" w:hAnsi="Tahoma" w:cs="Tahoma"/>
      <w:sz w:val="16"/>
      <w:szCs w:val="16"/>
    </w:rPr>
  </w:style>
  <w:style w:type="character" w:customStyle="1" w:styleId="a6">
    <w:name w:val="Текст выноски Знак"/>
    <w:basedOn w:val="a0"/>
    <w:link w:val="a5"/>
    <w:uiPriority w:val="99"/>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ac">
    <w:name w:val="Unresolved Mention"/>
    <w:basedOn w:val="a0"/>
    <w:uiPriority w:val="99"/>
    <w:semiHidden/>
    <w:unhideWhenUsed/>
    <w:rsid w:val="00613B4D"/>
    <w:rPr>
      <w:color w:val="808080"/>
      <w:shd w:val="clear" w:color="auto" w:fill="E6E6E6"/>
    </w:rPr>
  </w:style>
  <w:style w:type="paragraph" w:styleId="ad">
    <w:name w:val="List Paragraph"/>
    <w:basedOn w:val="a"/>
    <w:uiPriority w:val="34"/>
    <w:rsid w:val="006E4474"/>
    <w:pPr>
      <w:ind w:left="720"/>
      <w:contextualSpacing/>
    </w:pPr>
  </w:style>
  <w:style w:type="character" w:styleId="ae">
    <w:name w:val="annotation reference"/>
    <w:basedOn w:val="a0"/>
    <w:semiHidden/>
    <w:unhideWhenUsed/>
    <w:rsid w:val="005E71ED"/>
    <w:rPr>
      <w:sz w:val="16"/>
      <w:szCs w:val="16"/>
    </w:rPr>
  </w:style>
  <w:style w:type="paragraph" w:styleId="af">
    <w:name w:val="annotation text"/>
    <w:basedOn w:val="a"/>
    <w:link w:val="af0"/>
    <w:semiHidden/>
    <w:unhideWhenUsed/>
    <w:rsid w:val="005E71ED"/>
    <w:rPr>
      <w:sz w:val="20"/>
    </w:rPr>
  </w:style>
  <w:style w:type="character" w:customStyle="1" w:styleId="af0">
    <w:name w:val="Текст примечания Знак"/>
    <w:basedOn w:val="a0"/>
    <w:link w:val="af"/>
    <w:semiHidden/>
    <w:rsid w:val="005E71ED"/>
    <w:rPr>
      <w:lang w:val="en-US" w:eastAsia="en-US"/>
    </w:rPr>
  </w:style>
  <w:style w:type="paragraph" w:styleId="af1">
    <w:name w:val="annotation subject"/>
    <w:basedOn w:val="af"/>
    <w:next w:val="af"/>
    <w:link w:val="af2"/>
    <w:semiHidden/>
    <w:unhideWhenUsed/>
    <w:rsid w:val="005E71ED"/>
    <w:rPr>
      <w:b/>
      <w:bCs/>
    </w:rPr>
  </w:style>
  <w:style w:type="character" w:customStyle="1" w:styleId="af2">
    <w:name w:val="Тема примечания Знак"/>
    <w:basedOn w:val="af0"/>
    <w:link w:val="af1"/>
    <w:semiHidden/>
    <w:rsid w:val="005E71ED"/>
    <w:rPr>
      <w:b/>
      <w:bCs/>
      <w:lang w:val="en-US" w:eastAsia="en-US"/>
    </w:rPr>
  </w:style>
  <w:style w:type="paragraph" w:customStyle="1" w:styleId="ICST-References">
    <w:name w:val="ICST-References"/>
    <w:qFormat/>
    <w:rsid w:val="00E9469A"/>
    <w:pPr>
      <w:numPr>
        <w:numId w:val="46"/>
      </w:numPr>
      <w:ind w:left="400" w:hanging="400"/>
      <w:jc w:val="both"/>
    </w:pPr>
    <w:rPr>
      <w:bCs/>
      <w:sz w:val="18"/>
      <w:szCs w:val="18"/>
    </w:rPr>
  </w:style>
  <w:style w:type="character" w:customStyle="1" w:styleId="10">
    <w:name w:val="Заголовок 1 Знак"/>
    <w:basedOn w:val="a0"/>
    <w:link w:val="1"/>
    <w:uiPriority w:val="9"/>
    <w:rsid w:val="003B62E1"/>
    <w:rPr>
      <w:b/>
      <w:caps/>
      <w:sz w:val="24"/>
      <w:lang w:val="en-US" w:eastAsia="en-US"/>
    </w:rPr>
  </w:style>
  <w:style w:type="character" w:styleId="af3">
    <w:name w:val="Placeholder Text"/>
    <w:basedOn w:val="a0"/>
    <w:uiPriority w:val="99"/>
    <w:semiHidden/>
    <w:rsid w:val="003B62E1"/>
    <w:rPr>
      <w:color w:val="808080"/>
    </w:rPr>
  </w:style>
  <w:style w:type="character" w:customStyle="1" w:styleId="40">
    <w:name w:val="Заголовок 4 Знак"/>
    <w:basedOn w:val="a0"/>
    <w:link w:val="4"/>
    <w:semiHidden/>
    <w:rsid w:val="00D0269B"/>
    <w:rPr>
      <w:rFonts w:asciiTheme="majorHAnsi" w:eastAsiaTheme="majorEastAsia" w:hAnsiTheme="majorHAnsi" w:cstheme="majorBidi"/>
      <w:i/>
      <w:iCs/>
      <w:color w:val="365F91" w:themeColor="accent1" w:themeShade="BF"/>
      <w:sz w:val="24"/>
      <w:lang w:val="en-US" w:eastAsia="en-US"/>
    </w:rPr>
  </w:style>
  <w:style w:type="character" w:customStyle="1" w:styleId="50">
    <w:name w:val="Заголовок 5 Знак"/>
    <w:basedOn w:val="a0"/>
    <w:link w:val="5"/>
    <w:semiHidden/>
    <w:rsid w:val="003D6502"/>
    <w:rPr>
      <w:rFonts w:asciiTheme="majorHAnsi" w:eastAsiaTheme="majorEastAsia" w:hAnsiTheme="majorHAnsi" w:cstheme="majorBidi"/>
      <w:color w:val="365F91" w:themeColor="accent1" w:themeShade="BF"/>
      <w:sz w:val="24"/>
      <w:lang w:val="en-US" w:eastAsia="en-US"/>
    </w:rPr>
  </w:style>
  <w:style w:type="character" w:customStyle="1" w:styleId="typographytypographycrpwo">
    <w:name w:val="typography_typography__crpwo"/>
    <w:basedOn w:val="a0"/>
    <w:rsid w:val="00CC3C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4682">
      <w:bodyDiv w:val="1"/>
      <w:marLeft w:val="0"/>
      <w:marRight w:val="0"/>
      <w:marTop w:val="0"/>
      <w:marBottom w:val="0"/>
      <w:divBdr>
        <w:top w:val="none" w:sz="0" w:space="0" w:color="auto"/>
        <w:left w:val="none" w:sz="0" w:space="0" w:color="auto"/>
        <w:bottom w:val="none" w:sz="0" w:space="0" w:color="auto"/>
        <w:right w:val="none" w:sz="0" w:space="0" w:color="auto"/>
      </w:divBdr>
      <w:divsChild>
        <w:div w:id="704525606">
          <w:marLeft w:val="0"/>
          <w:marRight w:val="0"/>
          <w:marTop w:val="0"/>
          <w:marBottom w:val="0"/>
          <w:divBdr>
            <w:top w:val="none" w:sz="0" w:space="0" w:color="auto"/>
            <w:left w:val="none" w:sz="0" w:space="0" w:color="auto"/>
            <w:bottom w:val="none" w:sz="0" w:space="0" w:color="auto"/>
            <w:right w:val="none" w:sz="0" w:space="0" w:color="auto"/>
          </w:divBdr>
        </w:div>
      </w:divsChild>
    </w:div>
    <w:div w:id="173956353">
      <w:bodyDiv w:val="1"/>
      <w:marLeft w:val="0"/>
      <w:marRight w:val="0"/>
      <w:marTop w:val="0"/>
      <w:marBottom w:val="0"/>
      <w:divBdr>
        <w:top w:val="none" w:sz="0" w:space="0" w:color="auto"/>
        <w:left w:val="none" w:sz="0" w:space="0" w:color="auto"/>
        <w:bottom w:val="none" w:sz="0" w:space="0" w:color="auto"/>
        <w:right w:val="none" w:sz="0" w:space="0" w:color="auto"/>
      </w:divBdr>
      <w:divsChild>
        <w:div w:id="1057121517">
          <w:marLeft w:val="0"/>
          <w:marRight w:val="0"/>
          <w:marTop w:val="0"/>
          <w:marBottom w:val="0"/>
          <w:divBdr>
            <w:top w:val="none" w:sz="0" w:space="0" w:color="auto"/>
            <w:left w:val="none" w:sz="0" w:space="0" w:color="auto"/>
            <w:bottom w:val="none" w:sz="0" w:space="0" w:color="auto"/>
            <w:right w:val="none" w:sz="0" w:space="0" w:color="auto"/>
          </w:divBdr>
        </w:div>
      </w:divsChild>
    </w:div>
    <w:div w:id="304362123">
      <w:bodyDiv w:val="1"/>
      <w:marLeft w:val="0"/>
      <w:marRight w:val="0"/>
      <w:marTop w:val="0"/>
      <w:marBottom w:val="0"/>
      <w:divBdr>
        <w:top w:val="none" w:sz="0" w:space="0" w:color="auto"/>
        <w:left w:val="none" w:sz="0" w:space="0" w:color="auto"/>
        <w:bottom w:val="none" w:sz="0" w:space="0" w:color="auto"/>
        <w:right w:val="none" w:sz="0" w:space="0" w:color="auto"/>
      </w:divBdr>
      <w:divsChild>
        <w:div w:id="1967545141">
          <w:marLeft w:val="0"/>
          <w:marRight w:val="0"/>
          <w:marTop w:val="0"/>
          <w:marBottom w:val="0"/>
          <w:divBdr>
            <w:top w:val="none" w:sz="0" w:space="0" w:color="auto"/>
            <w:left w:val="none" w:sz="0" w:space="0" w:color="auto"/>
            <w:bottom w:val="none" w:sz="0" w:space="0" w:color="auto"/>
            <w:right w:val="none" w:sz="0" w:space="0" w:color="auto"/>
          </w:divBdr>
        </w:div>
      </w:divsChild>
    </w:div>
    <w:div w:id="541478871">
      <w:bodyDiv w:val="1"/>
      <w:marLeft w:val="0"/>
      <w:marRight w:val="0"/>
      <w:marTop w:val="0"/>
      <w:marBottom w:val="0"/>
      <w:divBdr>
        <w:top w:val="none" w:sz="0" w:space="0" w:color="auto"/>
        <w:left w:val="none" w:sz="0" w:space="0" w:color="auto"/>
        <w:bottom w:val="none" w:sz="0" w:space="0" w:color="auto"/>
        <w:right w:val="none" w:sz="0" w:space="0" w:color="auto"/>
      </w:divBdr>
      <w:divsChild>
        <w:div w:id="220795848">
          <w:marLeft w:val="0"/>
          <w:marRight w:val="0"/>
          <w:marTop w:val="0"/>
          <w:marBottom w:val="0"/>
          <w:divBdr>
            <w:top w:val="none" w:sz="0" w:space="0" w:color="auto"/>
            <w:left w:val="none" w:sz="0" w:space="0" w:color="auto"/>
            <w:bottom w:val="none" w:sz="0" w:space="0" w:color="auto"/>
            <w:right w:val="none" w:sz="0" w:space="0" w:color="auto"/>
          </w:divBdr>
        </w:div>
        <w:div w:id="1849174189">
          <w:marLeft w:val="0"/>
          <w:marRight w:val="0"/>
          <w:marTop w:val="0"/>
          <w:marBottom w:val="0"/>
          <w:divBdr>
            <w:top w:val="none" w:sz="0" w:space="0" w:color="auto"/>
            <w:left w:val="none" w:sz="0" w:space="0" w:color="auto"/>
            <w:bottom w:val="none" w:sz="0" w:space="0" w:color="auto"/>
            <w:right w:val="none" w:sz="0" w:space="0" w:color="auto"/>
          </w:divBdr>
        </w:div>
        <w:div w:id="65734543">
          <w:marLeft w:val="0"/>
          <w:marRight w:val="0"/>
          <w:marTop w:val="0"/>
          <w:marBottom w:val="0"/>
          <w:divBdr>
            <w:top w:val="none" w:sz="0" w:space="0" w:color="auto"/>
            <w:left w:val="none" w:sz="0" w:space="0" w:color="auto"/>
            <w:bottom w:val="none" w:sz="0" w:space="0" w:color="auto"/>
            <w:right w:val="none" w:sz="0" w:space="0" w:color="auto"/>
          </w:divBdr>
        </w:div>
        <w:div w:id="261301286">
          <w:marLeft w:val="0"/>
          <w:marRight w:val="0"/>
          <w:marTop w:val="0"/>
          <w:marBottom w:val="0"/>
          <w:divBdr>
            <w:top w:val="none" w:sz="0" w:space="0" w:color="auto"/>
            <w:left w:val="none" w:sz="0" w:space="0" w:color="auto"/>
            <w:bottom w:val="none" w:sz="0" w:space="0" w:color="auto"/>
            <w:right w:val="none" w:sz="0" w:space="0" w:color="auto"/>
          </w:divBdr>
        </w:div>
        <w:div w:id="1788621231">
          <w:marLeft w:val="0"/>
          <w:marRight w:val="0"/>
          <w:marTop w:val="0"/>
          <w:marBottom w:val="0"/>
          <w:divBdr>
            <w:top w:val="none" w:sz="0" w:space="0" w:color="auto"/>
            <w:left w:val="none" w:sz="0" w:space="0" w:color="auto"/>
            <w:bottom w:val="none" w:sz="0" w:space="0" w:color="auto"/>
            <w:right w:val="none" w:sz="0" w:space="0" w:color="auto"/>
          </w:divBdr>
        </w:div>
      </w:divsChild>
    </w:div>
    <w:div w:id="608317955">
      <w:bodyDiv w:val="1"/>
      <w:marLeft w:val="0"/>
      <w:marRight w:val="0"/>
      <w:marTop w:val="0"/>
      <w:marBottom w:val="0"/>
      <w:divBdr>
        <w:top w:val="none" w:sz="0" w:space="0" w:color="auto"/>
        <w:left w:val="none" w:sz="0" w:space="0" w:color="auto"/>
        <w:bottom w:val="none" w:sz="0" w:space="0" w:color="auto"/>
        <w:right w:val="none" w:sz="0" w:space="0" w:color="auto"/>
      </w:divBdr>
      <w:divsChild>
        <w:div w:id="294875582">
          <w:marLeft w:val="0"/>
          <w:marRight w:val="0"/>
          <w:marTop w:val="0"/>
          <w:marBottom w:val="0"/>
          <w:divBdr>
            <w:top w:val="none" w:sz="0" w:space="0" w:color="auto"/>
            <w:left w:val="none" w:sz="0" w:space="0" w:color="auto"/>
            <w:bottom w:val="none" w:sz="0" w:space="0" w:color="auto"/>
            <w:right w:val="none" w:sz="0" w:space="0" w:color="auto"/>
          </w:divBdr>
        </w:div>
      </w:divsChild>
    </w:div>
    <w:div w:id="673996765">
      <w:bodyDiv w:val="1"/>
      <w:marLeft w:val="0"/>
      <w:marRight w:val="0"/>
      <w:marTop w:val="0"/>
      <w:marBottom w:val="0"/>
      <w:divBdr>
        <w:top w:val="none" w:sz="0" w:space="0" w:color="auto"/>
        <w:left w:val="none" w:sz="0" w:space="0" w:color="auto"/>
        <w:bottom w:val="none" w:sz="0" w:space="0" w:color="auto"/>
        <w:right w:val="none" w:sz="0" w:space="0" w:color="auto"/>
      </w:divBdr>
      <w:divsChild>
        <w:div w:id="1369984466">
          <w:marLeft w:val="640"/>
          <w:marRight w:val="0"/>
          <w:marTop w:val="0"/>
          <w:marBottom w:val="0"/>
          <w:divBdr>
            <w:top w:val="none" w:sz="0" w:space="0" w:color="auto"/>
            <w:left w:val="none" w:sz="0" w:space="0" w:color="auto"/>
            <w:bottom w:val="none" w:sz="0" w:space="0" w:color="auto"/>
            <w:right w:val="none" w:sz="0" w:space="0" w:color="auto"/>
          </w:divBdr>
        </w:div>
        <w:div w:id="591399437">
          <w:marLeft w:val="640"/>
          <w:marRight w:val="0"/>
          <w:marTop w:val="0"/>
          <w:marBottom w:val="0"/>
          <w:divBdr>
            <w:top w:val="none" w:sz="0" w:space="0" w:color="auto"/>
            <w:left w:val="none" w:sz="0" w:space="0" w:color="auto"/>
            <w:bottom w:val="none" w:sz="0" w:space="0" w:color="auto"/>
            <w:right w:val="none" w:sz="0" w:space="0" w:color="auto"/>
          </w:divBdr>
        </w:div>
      </w:divsChild>
    </w:div>
    <w:div w:id="683164816">
      <w:bodyDiv w:val="1"/>
      <w:marLeft w:val="0"/>
      <w:marRight w:val="0"/>
      <w:marTop w:val="0"/>
      <w:marBottom w:val="0"/>
      <w:divBdr>
        <w:top w:val="none" w:sz="0" w:space="0" w:color="auto"/>
        <w:left w:val="none" w:sz="0" w:space="0" w:color="auto"/>
        <w:bottom w:val="none" w:sz="0" w:space="0" w:color="auto"/>
        <w:right w:val="none" w:sz="0" w:space="0" w:color="auto"/>
      </w:divBdr>
    </w:div>
    <w:div w:id="716514652">
      <w:bodyDiv w:val="1"/>
      <w:marLeft w:val="0"/>
      <w:marRight w:val="0"/>
      <w:marTop w:val="0"/>
      <w:marBottom w:val="0"/>
      <w:divBdr>
        <w:top w:val="none" w:sz="0" w:space="0" w:color="auto"/>
        <w:left w:val="none" w:sz="0" w:space="0" w:color="auto"/>
        <w:bottom w:val="none" w:sz="0" w:space="0" w:color="auto"/>
        <w:right w:val="none" w:sz="0" w:space="0" w:color="auto"/>
      </w:divBdr>
      <w:divsChild>
        <w:div w:id="868833670">
          <w:marLeft w:val="0"/>
          <w:marRight w:val="0"/>
          <w:marTop w:val="0"/>
          <w:marBottom w:val="0"/>
          <w:divBdr>
            <w:top w:val="none" w:sz="0" w:space="0" w:color="auto"/>
            <w:left w:val="none" w:sz="0" w:space="0" w:color="auto"/>
            <w:bottom w:val="none" w:sz="0" w:space="0" w:color="auto"/>
            <w:right w:val="none" w:sz="0" w:space="0" w:color="auto"/>
          </w:divBdr>
        </w:div>
        <w:div w:id="479925956">
          <w:marLeft w:val="0"/>
          <w:marRight w:val="0"/>
          <w:marTop w:val="0"/>
          <w:marBottom w:val="0"/>
          <w:divBdr>
            <w:top w:val="none" w:sz="0" w:space="0" w:color="auto"/>
            <w:left w:val="none" w:sz="0" w:space="0" w:color="auto"/>
            <w:bottom w:val="none" w:sz="0" w:space="0" w:color="auto"/>
            <w:right w:val="none" w:sz="0" w:space="0" w:color="auto"/>
          </w:divBdr>
        </w:div>
        <w:div w:id="1851095119">
          <w:marLeft w:val="0"/>
          <w:marRight w:val="0"/>
          <w:marTop w:val="0"/>
          <w:marBottom w:val="0"/>
          <w:divBdr>
            <w:top w:val="none" w:sz="0" w:space="0" w:color="auto"/>
            <w:left w:val="none" w:sz="0" w:space="0" w:color="auto"/>
            <w:bottom w:val="none" w:sz="0" w:space="0" w:color="auto"/>
            <w:right w:val="none" w:sz="0" w:space="0" w:color="auto"/>
          </w:divBdr>
        </w:div>
      </w:divsChild>
    </w:div>
    <w:div w:id="771390937">
      <w:bodyDiv w:val="1"/>
      <w:marLeft w:val="0"/>
      <w:marRight w:val="0"/>
      <w:marTop w:val="0"/>
      <w:marBottom w:val="0"/>
      <w:divBdr>
        <w:top w:val="none" w:sz="0" w:space="0" w:color="auto"/>
        <w:left w:val="none" w:sz="0" w:space="0" w:color="auto"/>
        <w:bottom w:val="none" w:sz="0" w:space="0" w:color="auto"/>
        <w:right w:val="none" w:sz="0" w:space="0" w:color="auto"/>
      </w:divBdr>
      <w:divsChild>
        <w:div w:id="1739355536">
          <w:marLeft w:val="0"/>
          <w:marRight w:val="0"/>
          <w:marTop w:val="0"/>
          <w:marBottom w:val="0"/>
          <w:divBdr>
            <w:top w:val="none" w:sz="0" w:space="0" w:color="auto"/>
            <w:left w:val="none" w:sz="0" w:space="0" w:color="auto"/>
            <w:bottom w:val="none" w:sz="0" w:space="0" w:color="auto"/>
            <w:right w:val="none" w:sz="0" w:space="0" w:color="auto"/>
          </w:divBdr>
        </w:div>
        <w:div w:id="326791370">
          <w:marLeft w:val="0"/>
          <w:marRight w:val="0"/>
          <w:marTop w:val="0"/>
          <w:marBottom w:val="0"/>
          <w:divBdr>
            <w:top w:val="none" w:sz="0" w:space="0" w:color="auto"/>
            <w:left w:val="none" w:sz="0" w:space="0" w:color="auto"/>
            <w:bottom w:val="none" w:sz="0" w:space="0" w:color="auto"/>
            <w:right w:val="none" w:sz="0" w:space="0" w:color="auto"/>
          </w:divBdr>
          <w:divsChild>
            <w:div w:id="1852259403">
              <w:marLeft w:val="0"/>
              <w:marRight w:val="0"/>
              <w:marTop w:val="0"/>
              <w:marBottom w:val="0"/>
              <w:divBdr>
                <w:top w:val="none" w:sz="0" w:space="0" w:color="auto"/>
                <w:left w:val="none" w:sz="0" w:space="0" w:color="auto"/>
                <w:bottom w:val="none" w:sz="0" w:space="0" w:color="auto"/>
                <w:right w:val="none" w:sz="0" w:space="0" w:color="auto"/>
              </w:divBdr>
              <w:divsChild>
                <w:div w:id="11356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730924">
      <w:bodyDiv w:val="1"/>
      <w:marLeft w:val="0"/>
      <w:marRight w:val="0"/>
      <w:marTop w:val="0"/>
      <w:marBottom w:val="0"/>
      <w:divBdr>
        <w:top w:val="none" w:sz="0" w:space="0" w:color="auto"/>
        <w:left w:val="none" w:sz="0" w:space="0" w:color="auto"/>
        <w:bottom w:val="none" w:sz="0" w:space="0" w:color="auto"/>
        <w:right w:val="none" w:sz="0" w:space="0" w:color="auto"/>
      </w:divBdr>
    </w:div>
    <w:div w:id="964117768">
      <w:bodyDiv w:val="1"/>
      <w:marLeft w:val="0"/>
      <w:marRight w:val="0"/>
      <w:marTop w:val="0"/>
      <w:marBottom w:val="0"/>
      <w:divBdr>
        <w:top w:val="none" w:sz="0" w:space="0" w:color="auto"/>
        <w:left w:val="none" w:sz="0" w:space="0" w:color="auto"/>
        <w:bottom w:val="none" w:sz="0" w:space="0" w:color="auto"/>
        <w:right w:val="none" w:sz="0" w:space="0" w:color="auto"/>
      </w:divBdr>
      <w:divsChild>
        <w:div w:id="1942372134">
          <w:marLeft w:val="0"/>
          <w:marRight w:val="0"/>
          <w:marTop w:val="0"/>
          <w:marBottom w:val="0"/>
          <w:divBdr>
            <w:top w:val="none" w:sz="0" w:space="0" w:color="auto"/>
            <w:left w:val="none" w:sz="0" w:space="0" w:color="auto"/>
            <w:bottom w:val="none" w:sz="0" w:space="0" w:color="auto"/>
            <w:right w:val="none" w:sz="0" w:space="0" w:color="auto"/>
          </w:divBdr>
        </w:div>
      </w:divsChild>
    </w:div>
    <w:div w:id="1113743885">
      <w:bodyDiv w:val="1"/>
      <w:marLeft w:val="0"/>
      <w:marRight w:val="0"/>
      <w:marTop w:val="0"/>
      <w:marBottom w:val="0"/>
      <w:divBdr>
        <w:top w:val="none" w:sz="0" w:space="0" w:color="auto"/>
        <w:left w:val="none" w:sz="0" w:space="0" w:color="auto"/>
        <w:bottom w:val="none" w:sz="0" w:space="0" w:color="auto"/>
        <w:right w:val="none" w:sz="0" w:space="0" w:color="auto"/>
      </w:divBdr>
      <w:divsChild>
        <w:div w:id="626163236">
          <w:marLeft w:val="0"/>
          <w:marRight w:val="0"/>
          <w:marTop w:val="0"/>
          <w:marBottom w:val="0"/>
          <w:divBdr>
            <w:top w:val="none" w:sz="0" w:space="0" w:color="auto"/>
            <w:left w:val="none" w:sz="0" w:space="0" w:color="auto"/>
            <w:bottom w:val="none" w:sz="0" w:space="0" w:color="auto"/>
            <w:right w:val="none" w:sz="0" w:space="0" w:color="auto"/>
          </w:divBdr>
        </w:div>
        <w:div w:id="1181552338">
          <w:marLeft w:val="0"/>
          <w:marRight w:val="0"/>
          <w:marTop w:val="0"/>
          <w:marBottom w:val="0"/>
          <w:divBdr>
            <w:top w:val="none" w:sz="0" w:space="0" w:color="auto"/>
            <w:left w:val="none" w:sz="0" w:space="0" w:color="auto"/>
            <w:bottom w:val="none" w:sz="0" w:space="0" w:color="auto"/>
            <w:right w:val="none" w:sz="0" w:space="0" w:color="auto"/>
          </w:divBdr>
        </w:div>
        <w:div w:id="465050040">
          <w:marLeft w:val="0"/>
          <w:marRight w:val="0"/>
          <w:marTop w:val="0"/>
          <w:marBottom w:val="0"/>
          <w:divBdr>
            <w:top w:val="none" w:sz="0" w:space="0" w:color="auto"/>
            <w:left w:val="none" w:sz="0" w:space="0" w:color="auto"/>
            <w:bottom w:val="none" w:sz="0" w:space="0" w:color="auto"/>
            <w:right w:val="none" w:sz="0" w:space="0" w:color="auto"/>
          </w:divBdr>
        </w:div>
      </w:divsChild>
    </w:div>
    <w:div w:id="1137062942">
      <w:bodyDiv w:val="1"/>
      <w:marLeft w:val="0"/>
      <w:marRight w:val="0"/>
      <w:marTop w:val="0"/>
      <w:marBottom w:val="0"/>
      <w:divBdr>
        <w:top w:val="none" w:sz="0" w:space="0" w:color="auto"/>
        <w:left w:val="none" w:sz="0" w:space="0" w:color="auto"/>
        <w:bottom w:val="none" w:sz="0" w:space="0" w:color="auto"/>
        <w:right w:val="none" w:sz="0" w:space="0" w:color="auto"/>
      </w:divBdr>
      <w:divsChild>
        <w:div w:id="272827844">
          <w:marLeft w:val="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08970860">
      <w:bodyDiv w:val="1"/>
      <w:marLeft w:val="0"/>
      <w:marRight w:val="0"/>
      <w:marTop w:val="0"/>
      <w:marBottom w:val="0"/>
      <w:divBdr>
        <w:top w:val="none" w:sz="0" w:space="0" w:color="auto"/>
        <w:left w:val="none" w:sz="0" w:space="0" w:color="auto"/>
        <w:bottom w:val="none" w:sz="0" w:space="0" w:color="auto"/>
        <w:right w:val="none" w:sz="0" w:space="0" w:color="auto"/>
      </w:divBdr>
      <w:divsChild>
        <w:div w:id="38362334">
          <w:marLeft w:val="0"/>
          <w:marRight w:val="0"/>
          <w:marTop w:val="0"/>
          <w:marBottom w:val="0"/>
          <w:divBdr>
            <w:top w:val="none" w:sz="0" w:space="0" w:color="auto"/>
            <w:left w:val="none" w:sz="0" w:space="0" w:color="auto"/>
            <w:bottom w:val="none" w:sz="0" w:space="0" w:color="auto"/>
            <w:right w:val="none" w:sz="0" w:space="0" w:color="auto"/>
          </w:divBdr>
        </w:div>
        <w:div w:id="1132865804">
          <w:marLeft w:val="0"/>
          <w:marRight w:val="0"/>
          <w:marTop w:val="0"/>
          <w:marBottom w:val="0"/>
          <w:divBdr>
            <w:top w:val="none" w:sz="0" w:space="0" w:color="auto"/>
            <w:left w:val="none" w:sz="0" w:space="0" w:color="auto"/>
            <w:bottom w:val="none" w:sz="0" w:space="0" w:color="auto"/>
            <w:right w:val="none" w:sz="0" w:space="0" w:color="auto"/>
          </w:divBdr>
        </w:div>
      </w:divsChild>
    </w:div>
    <w:div w:id="1393580597">
      <w:bodyDiv w:val="1"/>
      <w:marLeft w:val="0"/>
      <w:marRight w:val="0"/>
      <w:marTop w:val="0"/>
      <w:marBottom w:val="0"/>
      <w:divBdr>
        <w:top w:val="none" w:sz="0" w:space="0" w:color="auto"/>
        <w:left w:val="none" w:sz="0" w:space="0" w:color="auto"/>
        <w:bottom w:val="none" w:sz="0" w:space="0" w:color="auto"/>
        <w:right w:val="none" w:sz="0" w:space="0" w:color="auto"/>
      </w:divBdr>
      <w:divsChild>
        <w:div w:id="1720783348">
          <w:marLeft w:val="0"/>
          <w:marRight w:val="0"/>
          <w:marTop w:val="0"/>
          <w:marBottom w:val="0"/>
          <w:divBdr>
            <w:top w:val="none" w:sz="0" w:space="0" w:color="auto"/>
            <w:left w:val="none" w:sz="0" w:space="0" w:color="auto"/>
            <w:bottom w:val="none" w:sz="0" w:space="0" w:color="auto"/>
            <w:right w:val="none" w:sz="0" w:space="0" w:color="auto"/>
          </w:divBdr>
        </w:div>
      </w:divsChild>
    </w:div>
    <w:div w:id="1508669320">
      <w:bodyDiv w:val="1"/>
      <w:marLeft w:val="0"/>
      <w:marRight w:val="0"/>
      <w:marTop w:val="0"/>
      <w:marBottom w:val="0"/>
      <w:divBdr>
        <w:top w:val="none" w:sz="0" w:space="0" w:color="auto"/>
        <w:left w:val="none" w:sz="0" w:space="0" w:color="auto"/>
        <w:bottom w:val="none" w:sz="0" w:space="0" w:color="auto"/>
        <w:right w:val="none" w:sz="0" w:space="0" w:color="auto"/>
      </w:divBdr>
    </w:div>
    <w:div w:id="170420791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83374538">
      <w:bodyDiv w:val="1"/>
      <w:marLeft w:val="0"/>
      <w:marRight w:val="0"/>
      <w:marTop w:val="0"/>
      <w:marBottom w:val="0"/>
      <w:divBdr>
        <w:top w:val="none" w:sz="0" w:space="0" w:color="auto"/>
        <w:left w:val="none" w:sz="0" w:space="0" w:color="auto"/>
        <w:bottom w:val="none" w:sz="0" w:space="0" w:color="auto"/>
        <w:right w:val="none" w:sz="0" w:space="0" w:color="auto"/>
      </w:divBdr>
      <w:divsChild>
        <w:div w:id="1700357467">
          <w:marLeft w:val="0"/>
          <w:marRight w:val="0"/>
          <w:marTop w:val="0"/>
          <w:marBottom w:val="0"/>
          <w:divBdr>
            <w:top w:val="none" w:sz="0" w:space="0" w:color="auto"/>
            <w:left w:val="none" w:sz="0" w:space="0" w:color="auto"/>
            <w:bottom w:val="none" w:sz="0" w:space="0" w:color="auto"/>
            <w:right w:val="none" w:sz="0" w:space="0" w:color="auto"/>
          </w:divBdr>
        </w:div>
      </w:divsChild>
    </w:div>
    <w:div w:id="1839808341">
      <w:bodyDiv w:val="1"/>
      <w:marLeft w:val="0"/>
      <w:marRight w:val="0"/>
      <w:marTop w:val="0"/>
      <w:marBottom w:val="0"/>
      <w:divBdr>
        <w:top w:val="none" w:sz="0" w:space="0" w:color="auto"/>
        <w:left w:val="none" w:sz="0" w:space="0" w:color="auto"/>
        <w:bottom w:val="none" w:sz="0" w:space="0" w:color="auto"/>
        <w:right w:val="none" w:sz="0" w:space="0" w:color="auto"/>
      </w:divBdr>
    </w:div>
    <w:div w:id="1864128579">
      <w:bodyDiv w:val="1"/>
      <w:marLeft w:val="0"/>
      <w:marRight w:val="0"/>
      <w:marTop w:val="0"/>
      <w:marBottom w:val="0"/>
      <w:divBdr>
        <w:top w:val="none" w:sz="0" w:space="0" w:color="auto"/>
        <w:left w:val="none" w:sz="0" w:space="0" w:color="auto"/>
        <w:bottom w:val="none" w:sz="0" w:space="0" w:color="auto"/>
        <w:right w:val="none" w:sz="0" w:space="0" w:color="auto"/>
      </w:divBdr>
    </w:div>
    <w:div w:id="1913849056">
      <w:bodyDiv w:val="1"/>
      <w:marLeft w:val="0"/>
      <w:marRight w:val="0"/>
      <w:marTop w:val="0"/>
      <w:marBottom w:val="0"/>
      <w:divBdr>
        <w:top w:val="none" w:sz="0" w:space="0" w:color="auto"/>
        <w:left w:val="none" w:sz="0" w:space="0" w:color="auto"/>
        <w:bottom w:val="none" w:sz="0" w:space="0" w:color="auto"/>
        <w:right w:val="none" w:sz="0" w:space="0" w:color="auto"/>
      </w:divBdr>
      <w:divsChild>
        <w:div w:id="571279828">
          <w:marLeft w:val="0"/>
          <w:marRight w:val="0"/>
          <w:marTop w:val="0"/>
          <w:marBottom w:val="0"/>
          <w:divBdr>
            <w:top w:val="none" w:sz="0" w:space="0" w:color="auto"/>
            <w:left w:val="none" w:sz="0" w:space="0" w:color="auto"/>
            <w:bottom w:val="none" w:sz="0" w:space="0" w:color="auto"/>
            <w:right w:val="none" w:sz="0" w:space="0" w:color="auto"/>
          </w:divBdr>
        </w:div>
        <w:div w:id="582033773">
          <w:marLeft w:val="0"/>
          <w:marRight w:val="0"/>
          <w:marTop w:val="0"/>
          <w:marBottom w:val="0"/>
          <w:divBdr>
            <w:top w:val="none" w:sz="0" w:space="0" w:color="auto"/>
            <w:left w:val="none" w:sz="0" w:space="0" w:color="auto"/>
            <w:bottom w:val="none" w:sz="0" w:space="0" w:color="auto"/>
            <w:right w:val="none" w:sz="0" w:space="0" w:color="auto"/>
          </w:divBdr>
        </w:div>
        <w:div w:id="1472752369">
          <w:marLeft w:val="0"/>
          <w:marRight w:val="0"/>
          <w:marTop w:val="0"/>
          <w:marBottom w:val="0"/>
          <w:divBdr>
            <w:top w:val="none" w:sz="0" w:space="0" w:color="auto"/>
            <w:left w:val="none" w:sz="0" w:space="0" w:color="auto"/>
            <w:bottom w:val="none" w:sz="0" w:space="0" w:color="auto"/>
            <w:right w:val="none" w:sz="0" w:space="0" w:color="auto"/>
          </w:divBdr>
        </w:div>
        <w:div w:id="918561484">
          <w:marLeft w:val="0"/>
          <w:marRight w:val="0"/>
          <w:marTop w:val="0"/>
          <w:marBottom w:val="0"/>
          <w:divBdr>
            <w:top w:val="none" w:sz="0" w:space="0" w:color="auto"/>
            <w:left w:val="none" w:sz="0" w:space="0" w:color="auto"/>
            <w:bottom w:val="none" w:sz="0" w:space="0" w:color="auto"/>
            <w:right w:val="none" w:sz="0" w:space="0" w:color="auto"/>
          </w:divBdr>
        </w:div>
      </w:divsChild>
    </w:div>
    <w:div w:id="2039233822">
      <w:bodyDiv w:val="1"/>
      <w:marLeft w:val="0"/>
      <w:marRight w:val="0"/>
      <w:marTop w:val="0"/>
      <w:marBottom w:val="0"/>
      <w:divBdr>
        <w:top w:val="none" w:sz="0" w:space="0" w:color="auto"/>
        <w:left w:val="none" w:sz="0" w:space="0" w:color="auto"/>
        <w:bottom w:val="none" w:sz="0" w:space="0" w:color="auto"/>
        <w:right w:val="none" w:sz="0" w:space="0" w:color="auto"/>
      </w:divBdr>
      <w:divsChild>
        <w:div w:id="1600138790">
          <w:marLeft w:val="640"/>
          <w:marRight w:val="0"/>
          <w:marTop w:val="0"/>
          <w:marBottom w:val="0"/>
          <w:divBdr>
            <w:top w:val="none" w:sz="0" w:space="0" w:color="auto"/>
            <w:left w:val="none" w:sz="0" w:space="0" w:color="auto"/>
            <w:bottom w:val="none" w:sz="0" w:space="0" w:color="auto"/>
            <w:right w:val="none" w:sz="0" w:space="0" w:color="auto"/>
          </w:divBdr>
        </w:div>
      </w:divsChild>
    </w:div>
    <w:div w:id="2065909650">
      <w:bodyDiv w:val="1"/>
      <w:marLeft w:val="0"/>
      <w:marRight w:val="0"/>
      <w:marTop w:val="0"/>
      <w:marBottom w:val="0"/>
      <w:divBdr>
        <w:top w:val="none" w:sz="0" w:space="0" w:color="auto"/>
        <w:left w:val="none" w:sz="0" w:space="0" w:color="auto"/>
        <w:bottom w:val="none" w:sz="0" w:space="0" w:color="auto"/>
        <w:right w:val="none" w:sz="0" w:space="0" w:color="auto"/>
      </w:divBdr>
      <w:divsChild>
        <w:div w:id="1091507428">
          <w:marLeft w:val="0"/>
          <w:marRight w:val="0"/>
          <w:marTop w:val="0"/>
          <w:marBottom w:val="0"/>
          <w:divBdr>
            <w:top w:val="none" w:sz="0" w:space="0" w:color="auto"/>
            <w:left w:val="none" w:sz="0" w:space="0" w:color="auto"/>
            <w:bottom w:val="none" w:sz="0" w:space="0" w:color="auto"/>
            <w:right w:val="none" w:sz="0" w:space="0" w:color="auto"/>
          </w:divBdr>
        </w:div>
      </w:divsChild>
    </w:div>
    <w:div w:id="213267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nuriddin24@mail.ru" TargetMode="Externa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33"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612798F-E68B-444C-8D98-02B87054457F}">
  <we:reference id="wa104382081" version="1.55.1.0" store="tr-TR" storeType="OMEX"/>
  <we:alternateReferences>
    <we:reference id="WA104382081" version="1.55.1.0" store="" storeType="OMEX"/>
  </we:alternateReferences>
  <we:properties>
    <we:property name="MENDELEY_CITATIONS" value="[]"/>
    <we:property name="MENDELEY_CITATIONS_LOCALE_CODE" value="&quot;en-US&quot;"/>
    <we:property name="MENDELEY_CITATIONS_STYLE" value="{&quot;id&quot;:&quot;https://www.zotero.org/styles/aip-advances&quot;,&quot;title&quot;:&quot;AIP Advances&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472</TotalTime>
  <Pages>7</Pages>
  <Words>3496</Words>
  <Characters>19930</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23380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Talipov Miraziz</cp:lastModifiedBy>
  <cp:revision>48</cp:revision>
  <cp:lastPrinted>2011-03-03T08:29:00Z</cp:lastPrinted>
  <dcterms:created xsi:type="dcterms:W3CDTF">2025-07-13T14:24:00Z</dcterms:created>
  <dcterms:modified xsi:type="dcterms:W3CDTF">2025-09-22T07:02:00Z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